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numbering.xml" ContentType="application/vnd.openxmlformats-officedocument.wordprocessingml.numbering+xml"/>
  <Override PartName="/word/footer6.xml" ContentType="application/vnd.openxmlformats-officedocument.wordprocessingml.footer+xml"/>
  <Override PartName="/word/footer5.xml" ContentType="application/vnd.openxmlformats-officedocument.wordprocessingml.footer+xml"/>
  <Override PartName="/word/footer4.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media/image1.jpeg" ContentType="image/jpeg"/>
  <Override PartName="/word/document.xml" ContentType="application/vnd.openxmlformats-officedocument.wordprocessingml.document.main+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Arial" w:hAnsi="Arial" w:cs="Arial"/>
          <w:sz w:val="22"/>
          <w:szCs w:val="22"/>
          <w:lang w:val="en-GB"/>
        </w:rPr>
      </w:pPr>
      <w:bookmarkStart w:id="0" w:name="_Toc438266930"/>
      <w:bookmarkStart w:id="1" w:name="_Toc438267904"/>
      <w:bookmarkStart w:id="2" w:name="_Toc438366671"/>
      <w:bookmarkEnd w:id="0"/>
      <w:bookmarkEnd w:id="1"/>
      <w:bookmarkEnd w:id="2"/>
      <w:r>
        <w:rPr/>
        <w:drawing>
          <wp:inline distT="0" distB="0" distL="0" distR="0">
            <wp:extent cx="901700" cy="113411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901700" cy="1134110"/>
                    </a:xfrm>
                    <a:prstGeom prst="rect">
                      <a:avLst/>
                    </a:prstGeom>
                  </pic:spPr>
                </pic:pic>
              </a:graphicData>
            </a:graphic>
          </wp:inline>
        </w:drawing>
      </w:r>
    </w:p>
    <w:p>
      <w:pPr>
        <w:pStyle w:val="Normal"/>
        <w:jc w:val="center"/>
        <w:rPr>
          <w:rFonts w:ascii="Arial" w:hAnsi="Arial" w:cs="Arial"/>
          <w:b/>
          <w:b/>
          <w:bCs/>
          <w:iCs/>
          <w:sz w:val="52"/>
          <w:szCs w:val="52"/>
          <w:lang w:val="en-GB"/>
        </w:rPr>
      </w:pPr>
      <w:r>
        <w:rPr>
          <w:rFonts w:cs="Arial" w:ascii="Arial" w:hAnsi="Arial"/>
          <w:b/>
          <w:bCs/>
          <w:iCs/>
          <w:sz w:val="52"/>
          <w:szCs w:val="52"/>
          <w:lang w:val="en-GB"/>
        </w:rPr>
        <w:t>University of Dhaka</w:t>
      </w:r>
    </w:p>
    <w:p>
      <w:pPr>
        <w:pStyle w:val="Normal"/>
        <w:jc w:val="center"/>
        <w:rPr>
          <w:rFonts w:ascii="Arial" w:hAnsi="Arial" w:cs="Arial"/>
          <w:b/>
          <w:b/>
          <w:sz w:val="52"/>
          <w:szCs w:val="52"/>
          <w:lang w:val="en-GB"/>
        </w:rPr>
      </w:pPr>
      <w:r>
        <w:rPr>
          <w:rFonts w:cs="Arial" w:ascii="Arial" w:hAnsi="Arial"/>
          <w:b/>
          <w:sz w:val="52"/>
          <w:szCs w:val="52"/>
          <w:lang w:val="en-GB"/>
        </w:rPr>
      </w:r>
    </w:p>
    <w:tbl>
      <w:tblPr>
        <w:tblW w:w="8550" w:type="dxa"/>
        <w:jc w:val="left"/>
        <w:tblInd w:w="378" w:type="dxa"/>
        <w:tblLayout w:type="fixed"/>
        <w:tblCellMar>
          <w:top w:w="0" w:type="dxa"/>
          <w:left w:w="108" w:type="dxa"/>
          <w:bottom w:w="0" w:type="dxa"/>
          <w:right w:w="108" w:type="dxa"/>
        </w:tblCellMar>
        <w:tblLook w:val="01e0" w:noHBand="0" w:noVBand="0" w:firstColumn="1" w:lastRow="1" w:lastColumn="1" w:firstRow="1"/>
      </w:tblPr>
      <w:tblGrid>
        <w:gridCol w:w="8550"/>
      </w:tblGrid>
      <w:tr>
        <w:trPr/>
        <w:tc>
          <w:tcPr>
            <w:tcW w:w="8550" w:type="dxa"/>
            <w:tcBorders>
              <w:top w:val="single" w:sz="4" w:space="0" w:color="000000"/>
              <w:left w:val="single" w:sz="4" w:space="0" w:color="000000"/>
              <w:bottom w:val="single" w:sz="4" w:space="0" w:color="000000"/>
              <w:right w:val="single" w:sz="4" w:space="0" w:color="000000"/>
            </w:tcBorders>
          </w:tcPr>
          <w:p>
            <w:pPr>
              <w:pStyle w:val="Title"/>
              <w:widowControl w:val="false"/>
              <w:rPr>
                <w:rFonts w:ascii="Arial" w:hAnsi="Arial" w:cs="Arial"/>
                <w:b w:val="false"/>
                <w:b w:val="false"/>
                <w:bCs/>
                <w:spacing w:val="80"/>
                <w:sz w:val="22"/>
                <w:szCs w:val="22"/>
                <w:lang w:val="en-GB"/>
              </w:rPr>
            </w:pPr>
            <w:r>
              <w:rPr>
                <w:rFonts w:cs="Arial" w:ascii="Arial" w:hAnsi="Arial"/>
                <w:b w:val="false"/>
                <w:bCs/>
                <w:spacing w:val="80"/>
                <w:sz w:val="22"/>
                <w:szCs w:val="22"/>
                <w:lang w:val="en-GB"/>
              </w:rPr>
            </w:r>
          </w:p>
          <w:p>
            <w:pPr>
              <w:pStyle w:val="Title"/>
              <w:widowControl w:val="false"/>
              <w:rPr>
                <w:rFonts w:ascii="Arial" w:hAnsi="Arial" w:cs="Arial"/>
                <w:bCs/>
                <w:iCs/>
                <w:sz w:val="28"/>
                <w:szCs w:val="22"/>
                <w:lang w:val="en-GB"/>
              </w:rPr>
            </w:pPr>
            <w:r>
              <w:rPr>
                <w:rFonts w:cs="Arial" w:ascii="Arial" w:hAnsi="Arial"/>
                <w:bCs/>
                <w:iCs/>
                <w:sz w:val="28"/>
                <w:szCs w:val="22"/>
                <w:lang w:val="en-GB"/>
              </w:rPr>
              <w:t>Online Admission Committee</w:t>
            </w:r>
          </w:p>
          <w:p>
            <w:pPr>
              <w:pStyle w:val="Title"/>
              <w:widowControl w:val="false"/>
              <w:rPr>
                <w:rFonts w:ascii="Arial" w:hAnsi="Arial" w:cs="Arial"/>
                <w:bCs/>
                <w:iCs/>
                <w:sz w:val="28"/>
                <w:szCs w:val="22"/>
                <w:lang w:val="en-GB"/>
              </w:rPr>
            </w:pPr>
            <w:r>
              <w:rPr>
                <w:rFonts w:cs="Arial" w:ascii="Arial" w:hAnsi="Arial"/>
                <w:bCs/>
                <w:iCs/>
                <w:sz w:val="28"/>
                <w:szCs w:val="22"/>
                <w:lang w:val="en-GB"/>
              </w:rPr>
              <w:t>Central Admission Office</w:t>
            </w:r>
          </w:p>
          <w:p>
            <w:pPr>
              <w:pStyle w:val="Title"/>
              <w:widowControl w:val="false"/>
              <w:rPr>
                <w:rFonts w:ascii="Arial" w:hAnsi="Arial" w:cs="Arial"/>
                <w:bCs/>
                <w:sz w:val="28"/>
                <w:szCs w:val="22"/>
                <w:lang w:val="en-GB"/>
              </w:rPr>
            </w:pPr>
            <w:r>
              <w:rPr>
                <w:rFonts w:cs="Arial" w:ascii="Arial" w:hAnsi="Arial"/>
                <w:bCs/>
                <w:iCs/>
                <w:sz w:val="28"/>
                <w:szCs w:val="22"/>
                <w:lang w:val="en-GB"/>
              </w:rPr>
              <w:t>University of Dhaka, Dhaka-1000</w:t>
            </w:r>
          </w:p>
          <w:p>
            <w:pPr>
              <w:pStyle w:val="Title"/>
              <w:widowControl w:val="false"/>
              <w:jc w:val="left"/>
              <w:rPr>
                <w:rFonts w:ascii="Arial" w:hAnsi="Arial" w:cs="Arial"/>
                <w:b w:val="false"/>
                <w:b w:val="false"/>
                <w:bCs/>
                <w:spacing w:val="80"/>
                <w:sz w:val="22"/>
                <w:szCs w:val="22"/>
                <w:lang w:val="en-GB"/>
              </w:rPr>
            </w:pPr>
            <w:r>
              <w:rPr>
                <w:rFonts w:cs="Arial" w:ascii="Arial" w:hAnsi="Arial"/>
                <w:b w:val="false"/>
                <w:bCs/>
                <w:spacing w:val="80"/>
                <w:sz w:val="22"/>
                <w:szCs w:val="22"/>
                <w:lang w:val="en-GB"/>
              </w:rPr>
            </w:r>
          </w:p>
        </w:tc>
      </w:tr>
    </w:tbl>
    <w:p>
      <w:pPr>
        <w:pStyle w:val="Title"/>
        <w:rPr>
          <w:rFonts w:ascii="Arial" w:hAnsi="Arial" w:cs="Arial"/>
          <w:b w:val="false"/>
          <w:b w:val="false"/>
          <w:bCs/>
          <w:spacing w:val="80"/>
          <w:sz w:val="22"/>
          <w:szCs w:val="22"/>
          <w:lang w:val="en-GB"/>
        </w:rPr>
      </w:pPr>
      <w:r>
        <w:rPr>
          <w:rFonts w:cs="Arial" w:ascii="Arial" w:hAnsi="Arial"/>
          <w:b w:val="false"/>
          <w:bCs/>
          <w:spacing w:val="80"/>
          <w:sz w:val="22"/>
          <w:szCs w:val="22"/>
          <w:lang w:val="en-GB"/>
        </w:rPr>
      </w:r>
    </w:p>
    <w:p>
      <w:pPr>
        <w:pStyle w:val="Title"/>
        <w:rPr>
          <w:rFonts w:ascii="Arial" w:hAnsi="Arial" w:cs="Arial"/>
          <w:b w:val="false"/>
          <w:b w:val="false"/>
          <w:bCs/>
          <w:spacing w:val="80"/>
          <w:sz w:val="22"/>
          <w:szCs w:val="22"/>
          <w:lang w:val="en-GB"/>
        </w:rPr>
      </w:pPr>
      <w:r>
        <w:rPr>
          <w:rFonts w:cs="Arial" w:ascii="Arial" w:hAnsi="Arial"/>
          <w:b w:val="false"/>
          <w:bCs/>
          <w:spacing w:val="80"/>
          <w:sz w:val="22"/>
          <w:szCs w:val="22"/>
          <w:lang w:val="en-GB"/>
        </w:rPr>
      </w:r>
    </w:p>
    <w:p>
      <w:pPr>
        <w:pStyle w:val="Title"/>
        <w:rPr>
          <w:rFonts w:ascii="Arial" w:hAnsi="Arial" w:cs="Arial"/>
          <w:b w:val="false"/>
          <w:b w:val="false"/>
          <w:bCs/>
          <w:spacing w:val="80"/>
          <w:sz w:val="22"/>
          <w:szCs w:val="22"/>
          <w:lang w:val="en-GB"/>
        </w:rPr>
      </w:pPr>
      <w:r>
        <w:rPr>
          <w:rFonts w:cs="Arial" w:ascii="Arial" w:hAnsi="Arial"/>
          <w:b w:val="false"/>
          <w:bCs/>
          <w:spacing w:val="80"/>
          <w:sz w:val="22"/>
          <w:szCs w:val="22"/>
          <w:lang w:val="en-GB"/>
        </w:rPr>
      </w:r>
    </w:p>
    <w:p>
      <w:pPr>
        <w:pStyle w:val="Title"/>
        <w:rPr>
          <w:rFonts w:ascii="Arial" w:hAnsi="Arial" w:cs="Arial"/>
          <w:sz w:val="32"/>
          <w:szCs w:val="32"/>
          <w:lang w:val="en-GB"/>
        </w:rPr>
      </w:pPr>
      <w:r>
        <w:rPr>
          <w:rFonts w:cs="Arial" w:ascii="Arial" w:hAnsi="Arial"/>
          <w:spacing w:val="80"/>
          <w:sz w:val="32"/>
          <w:szCs w:val="32"/>
          <w:lang w:val="en-GB"/>
        </w:rPr>
        <w:t>TENDER DOCUMENT</w:t>
      </w:r>
    </w:p>
    <w:p>
      <w:pPr>
        <w:pStyle w:val="Normal"/>
        <w:jc w:val="center"/>
        <w:rPr>
          <w:b/>
          <w:b/>
          <w:sz w:val="30"/>
          <w:szCs w:val="32"/>
          <w:lang w:val="en-GB"/>
        </w:rPr>
      </w:pPr>
      <w:r>
        <w:rPr>
          <w:b/>
          <w:sz w:val="30"/>
          <w:szCs w:val="32"/>
          <w:lang w:val="en-GB"/>
        </w:rPr>
        <w:t>Procurement of PVC/PET ID card printer with laminator &amp; Encoder with consumables (National)</w:t>
      </w:r>
    </w:p>
    <w:p>
      <w:pPr>
        <w:pStyle w:val="Normal"/>
        <w:jc w:val="center"/>
        <w:rPr>
          <w:rFonts w:ascii="Arial" w:hAnsi="Arial" w:cs="Arial"/>
          <w:b/>
          <w:b/>
          <w:sz w:val="32"/>
          <w:szCs w:val="32"/>
          <w:lang w:val="en-GB"/>
        </w:rPr>
      </w:pPr>
      <w:r>
        <w:rPr>
          <w:rFonts w:cs="Arial" w:ascii="Arial" w:hAnsi="Arial"/>
          <w:b/>
          <w:sz w:val="32"/>
          <w:szCs w:val="32"/>
          <w:lang w:val="en-GB"/>
        </w:rPr>
      </w:r>
    </w:p>
    <w:p>
      <w:pPr>
        <w:pStyle w:val="Normal"/>
        <w:jc w:val="center"/>
        <w:rPr>
          <w:rFonts w:ascii="Arial" w:hAnsi="Arial" w:cs="Arial"/>
          <w:b/>
          <w:b/>
          <w:sz w:val="32"/>
          <w:szCs w:val="32"/>
          <w:lang w:val="en-GB"/>
        </w:rPr>
      </w:pPr>
      <w:r>
        <w:rPr>
          <w:rFonts w:cs="Arial" w:ascii="Arial" w:hAnsi="Arial"/>
          <w:b/>
          <w:sz w:val="32"/>
          <w:szCs w:val="32"/>
          <w:lang w:val="en-GB"/>
        </w:rPr>
      </w:r>
    </w:p>
    <w:p>
      <w:pPr>
        <w:pStyle w:val="Normal"/>
        <w:jc w:val="center"/>
        <w:rPr>
          <w:rFonts w:ascii="Arial" w:hAnsi="Arial" w:cs="Arial"/>
          <w:b/>
          <w:b/>
          <w:sz w:val="32"/>
          <w:szCs w:val="32"/>
          <w:u w:val="single"/>
          <w:lang w:val="en-GB"/>
        </w:rPr>
      </w:pPr>
      <w:r>
        <w:rPr>
          <w:rFonts w:cs="Arial" w:ascii="Arial" w:hAnsi="Arial"/>
          <w:b/>
          <w:sz w:val="32"/>
          <w:szCs w:val="32"/>
          <w:u w:val="single"/>
          <w:lang w:val="en-GB"/>
        </w:rPr>
        <w:t>Open Tendering Method</w:t>
      </w:r>
    </w:p>
    <w:p>
      <w:pPr>
        <w:pStyle w:val="Normal"/>
        <w:jc w:val="center"/>
        <w:rPr>
          <w:rFonts w:ascii="Arial" w:hAnsi="Arial" w:cs="Arial"/>
          <w:b/>
          <w:b/>
          <w:sz w:val="32"/>
          <w:szCs w:val="32"/>
          <w:lang w:val="en-GB"/>
        </w:rPr>
      </w:pPr>
      <w:r>
        <w:rPr>
          <w:rFonts w:cs="Arial" w:ascii="Arial" w:hAnsi="Arial"/>
          <w:b/>
          <w:sz w:val="32"/>
          <w:szCs w:val="32"/>
          <w:lang w:val="en-GB"/>
        </w:rPr>
      </w:r>
    </w:p>
    <w:p>
      <w:pPr>
        <w:pStyle w:val="Title"/>
        <w:rPr>
          <w:rFonts w:ascii="Arial" w:hAnsi="Arial" w:cs="Arial"/>
          <w:sz w:val="22"/>
          <w:szCs w:val="22"/>
          <w:lang w:val="en-GB"/>
        </w:rPr>
      </w:pPr>
      <w:r>
        <w:rPr>
          <w:rFonts w:cs="Arial" w:ascii="Arial" w:hAnsi="Arial"/>
          <w:sz w:val="22"/>
          <w:szCs w:val="22"/>
          <w:lang w:val="en-GB"/>
        </w:rPr>
      </w:r>
    </w:p>
    <w:tbl>
      <w:tblPr>
        <w:tblW w:w="6930" w:type="dxa"/>
        <w:jc w:val="left"/>
        <w:tblInd w:w="1549" w:type="dxa"/>
        <w:tblLayout w:type="fixed"/>
        <w:tblCellMar>
          <w:top w:w="0" w:type="dxa"/>
          <w:left w:w="108" w:type="dxa"/>
          <w:bottom w:w="0" w:type="dxa"/>
          <w:right w:w="108" w:type="dxa"/>
        </w:tblCellMar>
        <w:tblLook w:val="01e0" w:noHBand="0" w:noVBand="0" w:firstColumn="1" w:lastRow="1" w:lastColumn="1" w:firstRow="1"/>
      </w:tblPr>
      <w:tblGrid>
        <w:gridCol w:w="6930"/>
      </w:tblGrid>
      <w:tr>
        <w:trPr/>
        <w:tc>
          <w:tcPr>
            <w:tcW w:w="6930" w:type="dxa"/>
            <w:tcBorders>
              <w:top w:val="single" w:sz="4" w:space="0" w:color="000000"/>
              <w:left w:val="single" w:sz="4" w:space="0" w:color="000000"/>
              <w:bottom w:val="single" w:sz="4" w:space="0" w:color="000000"/>
              <w:right w:val="single" w:sz="4" w:space="0" w:color="000000"/>
            </w:tcBorders>
          </w:tcPr>
          <w:p>
            <w:pPr>
              <w:pStyle w:val="Title"/>
              <w:widowControl w:val="false"/>
              <w:rPr>
                <w:rFonts w:ascii="Arial" w:hAnsi="Arial" w:cs="Arial"/>
                <w:b w:val="false"/>
                <w:b w:val="false"/>
                <w:bCs/>
                <w:sz w:val="22"/>
                <w:szCs w:val="22"/>
                <w:lang w:val="en-GB"/>
              </w:rPr>
            </w:pPr>
            <w:r>
              <w:rPr>
                <w:rFonts w:cs="Arial" w:ascii="Arial" w:hAnsi="Arial"/>
                <w:b w:val="false"/>
                <w:bCs/>
                <w:sz w:val="22"/>
                <w:szCs w:val="22"/>
                <w:lang w:val="en-GB"/>
              </w:rPr>
            </w:r>
          </w:p>
          <w:p>
            <w:pPr>
              <w:pStyle w:val="Title"/>
              <w:widowControl w:val="false"/>
              <w:jc w:val="both"/>
              <w:rPr>
                <w:rFonts w:ascii="Arial" w:hAnsi="Arial" w:cs="Arial"/>
                <w:b w:val="false"/>
                <w:b w:val="false"/>
                <w:bCs/>
                <w:sz w:val="12"/>
                <w:szCs w:val="22"/>
                <w:lang w:val="en-GB"/>
              </w:rPr>
            </w:pPr>
            <w:r>
              <w:rPr>
                <w:rFonts w:cs="Arial" w:ascii="Arial" w:hAnsi="Arial"/>
                <w:b w:val="false"/>
                <w:sz w:val="22"/>
                <w:szCs w:val="32"/>
                <w:lang w:val="en-GB"/>
              </w:rPr>
              <w:t>Tender invitation</w:t>
            </w:r>
          </w:p>
          <w:p>
            <w:pPr>
              <w:pStyle w:val="Title"/>
              <w:widowControl w:val="false"/>
              <w:suppressAutoHyphens w:val="true"/>
              <w:bidi w:val="0"/>
              <w:spacing w:before="0" w:after="0"/>
              <w:ind w:left="360" w:right="0" w:hanging="360"/>
              <w:jc w:val="both"/>
              <w:rPr>
                <w:rFonts w:ascii="Arial" w:hAnsi="Arial" w:cs="Arial"/>
                <w:b w:val="false"/>
                <w:b w:val="false"/>
                <w:bCs/>
                <w:sz w:val="12"/>
                <w:szCs w:val="22"/>
                <w:lang w:val="en-GB"/>
              </w:rPr>
            </w:pPr>
            <w:r>
              <w:rPr>
                <w:rFonts w:cs="Arial" w:ascii="Arial" w:hAnsi="Arial"/>
                <w:b w:val="false"/>
                <w:sz w:val="22"/>
                <w:szCs w:val="32"/>
                <w:lang w:val="en-GB"/>
              </w:rPr>
              <w:t>(a)</w:t>
              <w:tab/>
            </w:r>
            <w:r>
              <w:rPr>
                <w:rFonts w:cs="Arial" w:ascii="Arial" w:hAnsi="Arial"/>
                <w:b w:val="false"/>
                <w:sz w:val="22"/>
                <w:szCs w:val="32"/>
                <w:lang w:val="en-GB"/>
              </w:rPr>
              <w:t>from reputed partner/distributor/agent for Procuring PVC/PET ID card printer with laminator &amp; Encoder, Registered lamination film (Hologram Patch Roll), Color Ribbon and Cleaning Kit, and</w:t>
            </w:r>
          </w:p>
          <w:p>
            <w:pPr>
              <w:pStyle w:val="Title"/>
              <w:widowControl w:val="false"/>
              <w:tabs>
                <w:tab w:val="clear" w:pos="720"/>
                <w:tab w:val="left" w:pos="350" w:leader="none"/>
              </w:tabs>
              <w:suppressAutoHyphens w:val="true"/>
              <w:bidi w:val="0"/>
              <w:spacing w:before="0" w:after="0"/>
              <w:ind w:left="360" w:right="0" w:hanging="360"/>
              <w:jc w:val="both"/>
              <w:rPr>
                <w:rFonts w:ascii="Arial" w:hAnsi="Arial" w:cs="Arial"/>
                <w:b w:val="false"/>
                <w:b w:val="false"/>
                <w:bCs/>
                <w:sz w:val="12"/>
                <w:szCs w:val="22"/>
                <w:lang w:val="en-GB"/>
              </w:rPr>
            </w:pPr>
            <w:r>
              <w:rPr>
                <w:rFonts w:cs="Arial" w:ascii="Arial" w:hAnsi="Arial"/>
                <w:b w:val="false"/>
                <w:sz w:val="22"/>
                <w:szCs w:val="32"/>
                <w:lang w:val="en-GB"/>
              </w:rPr>
              <w:t>(b)</w:t>
              <w:tab/>
            </w:r>
            <w:r>
              <w:rPr>
                <w:rFonts w:cs="Arial" w:ascii="Arial" w:hAnsi="Arial"/>
                <w:b w:val="false"/>
                <w:sz w:val="22"/>
                <w:szCs w:val="32"/>
                <w:lang w:val="en-GB"/>
              </w:rPr>
              <w:t>from reputed partner/distributor/agent/supplier for  Contactless NFC PVC Card (8K), for Online Admission Committee, Central Admission Office, University of Dhaka</w:t>
            </w:r>
          </w:p>
        </w:tc>
      </w:tr>
    </w:tbl>
    <w:p>
      <w:pPr>
        <w:pStyle w:val="Normal"/>
        <w:rPr>
          <w:rFonts w:ascii="Arial" w:hAnsi="Arial" w:cs="Arial"/>
          <w:sz w:val="22"/>
          <w:szCs w:val="22"/>
          <w:lang w:val="en-GB"/>
        </w:rPr>
      </w:pPr>
      <w:r>
        <w:rPr>
          <w:rFonts w:cs="Arial" w:ascii="Arial" w:hAnsi="Arial"/>
          <w:sz w:val="22"/>
          <w:szCs w:val="22"/>
          <w:lang w:val="en-GB"/>
        </w:rPr>
      </w:r>
    </w:p>
    <w:p>
      <w:pPr>
        <w:pStyle w:val="Normal"/>
        <w:rPr>
          <w:rFonts w:ascii="Arial" w:hAnsi="Arial" w:cs="Arial"/>
          <w:sz w:val="22"/>
          <w:szCs w:val="22"/>
          <w:lang w:val="en-GB"/>
        </w:rPr>
      </w:pPr>
      <w:r>
        <w:rPr>
          <w:rFonts w:cs="Arial" w:ascii="Arial" w:hAnsi="Arial"/>
          <w:sz w:val="22"/>
          <w:szCs w:val="22"/>
          <w:lang w:val="en-GB"/>
        </w:rPr>
      </w:r>
    </w:p>
    <w:p>
      <w:pPr>
        <w:pStyle w:val="Normal"/>
        <w:rPr>
          <w:rFonts w:ascii="Arial" w:hAnsi="Arial" w:cs="Arial"/>
          <w:sz w:val="22"/>
          <w:szCs w:val="22"/>
          <w:lang w:val="en-GB"/>
        </w:rPr>
      </w:pPr>
      <w:r>
        <w:rPr>
          <w:rFonts w:cs="Arial" w:ascii="Arial" w:hAnsi="Arial"/>
          <w:sz w:val="22"/>
          <w:szCs w:val="22"/>
          <w:lang w:val="en-GB"/>
        </w:rPr>
      </w:r>
    </w:p>
    <w:p>
      <w:pPr>
        <w:pStyle w:val="Normal"/>
        <w:rPr>
          <w:rFonts w:ascii="Arial" w:hAnsi="Arial" w:cs="Arial"/>
          <w:sz w:val="22"/>
          <w:szCs w:val="22"/>
          <w:lang w:val="en-GB"/>
        </w:rPr>
      </w:pPr>
      <w:r>
        <w:rPr>
          <w:rFonts w:cs="Arial" w:ascii="Arial" w:hAnsi="Arial"/>
          <w:sz w:val="22"/>
          <w:szCs w:val="22"/>
          <w:lang w:val="en-GB"/>
        </w:rPr>
      </w:r>
    </w:p>
    <w:p>
      <w:pPr>
        <w:pStyle w:val="Normal"/>
        <w:rPr>
          <w:rFonts w:ascii="Arial" w:hAnsi="Arial" w:cs="Arial"/>
          <w:sz w:val="22"/>
          <w:szCs w:val="22"/>
          <w:lang w:val="en-GB"/>
        </w:rPr>
      </w:pPr>
      <w:r>
        <w:rPr>
          <w:rFonts w:cs="Arial" w:ascii="Arial" w:hAnsi="Arial"/>
          <w:sz w:val="22"/>
          <w:szCs w:val="22"/>
          <w:lang w:val="en-GB"/>
        </w:rPr>
      </w:r>
    </w:p>
    <w:p>
      <w:pPr>
        <w:pStyle w:val="Normal"/>
        <w:rPr>
          <w:rFonts w:ascii="Arial" w:hAnsi="Arial" w:cs="Arial"/>
          <w:sz w:val="22"/>
          <w:szCs w:val="22"/>
          <w:lang w:val="en-GB"/>
        </w:rPr>
      </w:pPr>
      <w:r>
        <w:rPr>
          <w:rFonts w:cs="Arial" w:ascii="Arial" w:hAnsi="Arial"/>
          <w:sz w:val="22"/>
          <w:szCs w:val="22"/>
          <w:lang w:val="en-GB"/>
        </w:rPr>
      </w:r>
    </w:p>
    <w:p>
      <w:pPr>
        <w:pStyle w:val="Normal"/>
        <w:rPr>
          <w:rFonts w:ascii="Arial" w:hAnsi="Arial" w:cs="Arial"/>
          <w:sz w:val="22"/>
          <w:szCs w:val="22"/>
          <w:lang w:val="en-GB"/>
        </w:rPr>
      </w:pPr>
      <w:r>
        <w:rPr>
          <w:rFonts w:cs="Arial" w:ascii="Arial" w:hAnsi="Arial"/>
          <w:sz w:val="22"/>
          <w:szCs w:val="22"/>
          <w:lang w:val="en-GB"/>
        </w:rPr>
      </w:r>
    </w:p>
    <w:p>
      <w:pPr>
        <w:pStyle w:val="Normal"/>
        <w:rPr>
          <w:rFonts w:ascii="Arial" w:hAnsi="Arial" w:cs="Arial"/>
          <w:sz w:val="22"/>
          <w:szCs w:val="22"/>
          <w:lang w:val="en-GB"/>
        </w:rPr>
      </w:pPr>
      <w:r>
        <w:rPr>
          <w:rFonts w:cs="Arial" w:ascii="Arial" w:hAnsi="Arial"/>
          <w:sz w:val="22"/>
          <w:szCs w:val="22"/>
          <w:lang w:val="en-GB"/>
        </w:rPr>
      </w:r>
    </w:p>
    <w:p>
      <w:pPr>
        <w:pStyle w:val="Normal"/>
        <w:rPr>
          <w:rFonts w:ascii="Arial" w:hAnsi="Arial" w:cs="Arial"/>
          <w:b/>
          <w:b/>
          <w:bCs/>
          <w:sz w:val="26"/>
          <w:szCs w:val="28"/>
          <w:lang w:val="en-GB"/>
        </w:rPr>
      </w:pPr>
      <w:r>
        <w:rPr>
          <w:rFonts w:cs="Arial" w:ascii="Arial" w:hAnsi="Arial"/>
          <w:b/>
          <w:bCs/>
          <w:sz w:val="26"/>
          <w:szCs w:val="28"/>
          <w:lang w:val="en-GB"/>
        </w:rPr>
        <w:t>Invitation for Tender No: DU/CAO/OTM/2023/147/001</w:t>
      </w:r>
    </w:p>
    <w:p>
      <w:pPr>
        <w:pStyle w:val="Normal"/>
        <w:rPr>
          <w:rFonts w:ascii="Arial" w:hAnsi="Arial" w:cs="Arial"/>
          <w:sz w:val="20"/>
          <w:szCs w:val="22"/>
          <w:lang w:val="en-GB"/>
        </w:rPr>
      </w:pPr>
      <w:r>
        <w:rPr>
          <w:rFonts w:cs="Arial" w:ascii="Arial" w:hAnsi="Arial"/>
          <w:b/>
          <w:bCs/>
          <w:sz w:val="26"/>
          <w:szCs w:val="28"/>
          <w:lang w:val="en-GB"/>
        </w:rPr>
        <w:t>Issued on: 15.02.2023</w:t>
      </w:r>
    </w:p>
    <w:p>
      <w:pPr>
        <w:pStyle w:val="Normal"/>
        <w:rPr>
          <w:rFonts w:ascii="Arial" w:hAnsi="Arial" w:cs="Arial"/>
          <w:b/>
          <w:b/>
          <w:bCs/>
          <w:sz w:val="26"/>
          <w:szCs w:val="28"/>
          <w:lang w:val="en-GB"/>
        </w:rPr>
      </w:pPr>
      <w:r>
        <w:rPr>
          <w:rFonts w:cs="Arial" w:ascii="Arial" w:hAnsi="Arial"/>
          <w:b/>
          <w:bCs/>
          <w:sz w:val="26"/>
          <w:szCs w:val="28"/>
          <w:lang w:val="en-GB"/>
        </w:rPr>
        <w:t>G/CAO/2023/01</w:t>
      </w:r>
    </w:p>
    <w:p>
      <w:pPr>
        <w:pStyle w:val="Normal"/>
        <w:rPr>
          <w:rFonts w:ascii="Arial" w:hAnsi="Arial" w:cs="Arial"/>
          <w:b/>
          <w:b/>
          <w:bCs/>
          <w:sz w:val="28"/>
          <w:szCs w:val="28"/>
          <w:lang w:val="en-GB"/>
        </w:rPr>
      </w:pPr>
      <w:r>
        <w:rPr>
          <w:rFonts w:cs="Arial" w:ascii="Arial" w:hAnsi="Arial"/>
          <w:b/>
          <w:bCs/>
          <w:sz w:val="26"/>
          <w:szCs w:val="28"/>
          <w:lang w:val="en-GB"/>
        </w:rPr>
        <w:t>Tender Lot No: 1, 2</w:t>
      </w:r>
    </w:p>
    <w:p>
      <w:pPr>
        <w:pStyle w:val="Normal"/>
        <w:rPr>
          <w:rFonts w:ascii="Arial" w:hAnsi="Arial" w:cs="Arial"/>
          <w:b/>
          <w:b/>
          <w:bCs/>
          <w:sz w:val="28"/>
          <w:szCs w:val="28"/>
          <w:lang w:val="en-GB"/>
        </w:rPr>
      </w:pPr>
      <w:r>
        <w:rPr>
          <w:rFonts w:cs="Arial" w:ascii="Arial" w:hAnsi="Arial"/>
          <w:b/>
          <w:bCs/>
          <w:sz w:val="26"/>
          <w:szCs w:val="28"/>
          <w:lang w:val="en-GB"/>
        </w:rPr>
        <w:br/>
      </w:r>
    </w:p>
    <w:p>
      <w:pPr>
        <w:pStyle w:val="BankNormal"/>
        <w:jc w:val="center"/>
        <w:rPr>
          <w:rFonts w:ascii="Arial" w:hAnsi="Arial" w:cs="Arial"/>
          <w:b/>
          <w:b/>
          <w:bCs/>
          <w:sz w:val="36"/>
          <w:szCs w:val="36"/>
          <w:u w:val="single"/>
          <w:lang w:val="en-GB"/>
        </w:rPr>
      </w:pPr>
      <w:bookmarkStart w:id="3" w:name="_Toc4295922"/>
      <w:r>
        <w:rPr>
          <w:rFonts w:cs="Arial" w:ascii="Arial" w:hAnsi="Arial"/>
          <w:b/>
          <w:bCs/>
          <w:sz w:val="36"/>
          <w:szCs w:val="36"/>
          <w:u w:val="single"/>
          <w:lang w:val="en-GB"/>
        </w:rPr>
        <w:t>Table of Contents</w:t>
      </w:r>
      <w:bookmarkStart w:id="4" w:name="_Toc39120615"/>
      <w:bookmarkStart w:id="5" w:name="_Toc41705850"/>
      <w:bookmarkEnd w:id="3"/>
    </w:p>
    <w:p>
      <w:pPr>
        <w:pStyle w:val="Contents1"/>
        <w:rPr/>
      </w:pPr>
      <w:r>
        <w:rPr/>
      </w:r>
    </w:p>
    <w:sdt>
      <w:sdtPr>
        <w:docPartObj>
          <w:docPartGallery w:val="Table of Contents"/>
          <w:docPartUnique w:val="true"/>
        </w:docPartObj>
      </w:sdtPr>
      <w:sdtContent>
        <w:p>
          <w:pPr>
            <w:pStyle w:val="Contents1"/>
            <w:rPr>
              <w:rFonts w:ascii="Calibri" w:hAnsi="Calibri" w:cs="Times New Roman"/>
              <w:sz w:val="22"/>
              <w:szCs w:val="22"/>
              <w:lang w:val="en-US"/>
            </w:rPr>
          </w:pPr>
          <w:r>
            <w:fldChar w:fldCharType="begin"/>
          </w:r>
          <w:r>
            <w:rPr>
              <w:webHidden/>
              <w:rStyle w:val="IndexLink"/>
              <w:vanish w:val="false"/>
            </w:rPr>
            <w:instrText> TOC \z \o "1-3" \u \h</w:instrText>
          </w:r>
          <w:r>
            <w:rPr>
              <w:webHidden/>
              <w:rStyle w:val="IndexLink"/>
              <w:vanish w:val="false"/>
            </w:rPr>
            <w:fldChar w:fldCharType="separate"/>
          </w:r>
          <w:hyperlink w:anchor="_Toc421454185">
            <w:r>
              <w:rPr>
                <w:webHidden/>
              </w:rPr>
              <w:fldChar w:fldCharType="begin"/>
            </w:r>
            <w:r>
              <w:rPr>
                <w:webHidden/>
              </w:rPr>
              <w:instrText>PAGEREF _Toc421454185 \h</w:instrText>
            </w:r>
            <w:r>
              <w:rPr>
                <w:webHidden/>
              </w:rPr>
              <w:fldChar w:fldCharType="separate"/>
            </w:r>
            <w:r>
              <w:rPr>
                <w:webHidden/>
                <w:rStyle w:val="IndexLink"/>
                <w:vanish w:val="false"/>
              </w:rPr>
              <w:t>Section 1.Instructions to Tenderers</w:t>
              <w:tab/>
              <w:t>1</w:t>
            </w:r>
            <w:r>
              <w:rPr>
                <w:webHidden/>
              </w:rPr>
              <w:fldChar w:fldCharType="end"/>
            </w:r>
          </w:hyperlink>
        </w:p>
        <w:p>
          <w:pPr>
            <w:pStyle w:val="Contents2"/>
            <w:rPr>
              <w:rFonts w:ascii="Calibri" w:hAnsi="Calibri" w:cs="Times New Roman"/>
              <w:szCs w:val="22"/>
              <w:lang w:val="en-US"/>
            </w:rPr>
          </w:pPr>
          <w:hyperlink w:anchor="_Toc421454186">
            <w:r>
              <w:rPr>
                <w:webHidden/>
                <w:rStyle w:val="IndexLink"/>
                <w:vanish w:val="false"/>
              </w:rPr>
              <w:t>A.</w:t>
            </w:r>
            <w:r>
              <w:rPr>
                <w:rStyle w:val="IndexLink"/>
                <w:rFonts w:cs="Times New Roman" w:ascii="Calibri" w:hAnsi="Calibri"/>
                <w:szCs w:val="22"/>
                <w:lang w:val="en-US"/>
              </w:rPr>
              <w:tab/>
            </w:r>
            <w:r>
              <w:rPr>
                <w:rStyle w:val="IndexLink"/>
              </w:rPr>
              <w:t>General</w:t>
            </w:r>
            <w:r>
              <w:rPr>
                <w:webHidden/>
              </w:rPr>
              <w:fldChar w:fldCharType="begin"/>
            </w:r>
            <w:r>
              <w:rPr>
                <w:webHidden/>
              </w:rPr>
              <w:instrText>PAGEREF _Toc421454186 \h</w:instrText>
            </w:r>
            <w:r>
              <w:rPr>
                <w:webHidden/>
              </w:rPr>
              <w:fldChar w:fldCharType="separate"/>
            </w:r>
            <w:r>
              <w:rPr>
                <w:rStyle w:val="IndexLink"/>
                <w:vanish w:val="false"/>
              </w:rPr>
              <w:tab/>
              <w:t>1</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187">
            <w:r>
              <w:rPr>
                <w:webHidden/>
                <w:rStyle w:val="IndexLink"/>
                <w:b w:val="false"/>
                <w:vanish w:val="false"/>
              </w:rPr>
              <w:t>1.</w:t>
            </w:r>
            <w:r>
              <w:rPr>
                <w:rStyle w:val="IndexLink"/>
                <w:rFonts w:cs="Times New Roman" w:ascii="Calibri" w:hAnsi="Calibri"/>
                <w:b w:val="false"/>
                <w:bCs w:val="false"/>
                <w:sz w:val="22"/>
                <w:szCs w:val="22"/>
                <w:lang w:val="en-US"/>
              </w:rPr>
              <w:tab/>
            </w:r>
            <w:r>
              <w:rPr>
                <w:rStyle w:val="IndexLink"/>
                <w:b w:val="false"/>
              </w:rPr>
              <w:t>Scope of Tender</w:t>
            </w:r>
            <w:r>
              <w:rPr>
                <w:webHidden/>
              </w:rPr>
              <w:fldChar w:fldCharType="begin"/>
            </w:r>
            <w:r>
              <w:rPr>
                <w:webHidden/>
              </w:rPr>
              <w:instrText>PAGEREF _Toc421454187 \h</w:instrText>
            </w:r>
            <w:r>
              <w:rPr>
                <w:webHidden/>
              </w:rPr>
              <w:fldChar w:fldCharType="separate"/>
            </w:r>
            <w:r>
              <w:rPr>
                <w:rStyle w:val="IndexLink"/>
                <w:b w:val="false"/>
                <w:vanish w:val="false"/>
              </w:rPr>
              <w:tab/>
              <w:t>1</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188">
            <w:r>
              <w:rPr>
                <w:webHidden/>
                <w:rStyle w:val="IndexLink"/>
                <w:b w:val="false"/>
                <w:vanish w:val="false"/>
              </w:rPr>
              <w:t>2.</w:t>
            </w:r>
            <w:r>
              <w:rPr>
                <w:rStyle w:val="IndexLink"/>
                <w:rFonts w:cs="Times New Roman" w:ascii="Calibri" w:hAnsi="Calibri"/>
                <w:b w:val="false"/>
                <w:bCs w:val="false"/>
                <w:sz w:val="22"/>
                <w:szCs w:val="22"/>
                <w:lang w:val="en-US"/>
              </w:rPr>
              <w:tab/>
            </w:r>
            <w:r>
              <w:rPr>
                <w:rStyle w:val="IndexLink"/>
                <w:b w:val="false"/>
              </w:rPr>
              <w:t>Interpretation</w:t>
            </w:r>
            <w:r>
              <w:rPr>
                <w:webHidden/>
              </w:rPr>
              <w:fldChar w:fldCharType="begin"/>
            </w:r>
            <w:r>
              <w:rPr>
                <w:webHidden/>
              </w:rPr>
              <w:instrText>PAGEREF _Toc421454188 \h</w:instrText>
            </w:r>
            <w:r>
              <w:rPr>
                <w:webHidden/>
              </w:rPr>
              <w:fldChar w:fldCharType="separate"/>
            </w:r>
            <w:r>
              <w:rPr>
                <w:rStyle w:val="IndexLink"/>
                <w:b w:val="false"/>
                <w:vanish w:val="false"/>
              </w:rPr>
              <w:tab/>
              <w:t>1</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189">
            <w:r>
              <w:rPr>
                <w:webHidden/>
                <w:rStyle w:val="IndexLink"/>
                <w:b w:val="false"/>
                <w:vanish w:val="false"/>
                <w:lang w:val="en-GB"/>
              </w:rPr>
              <w:t>3.</w:t>
            </w:r>
            <w:r>
              <w:rPr>
                <w:rStyle w:val="IndexLink"/>
                <w:rFonts w:cs="Times New Roman" w:ascii="Calibri" w:hAnsi="Calibri"/>
                <w:b w:val="false"/>
                <w:bCs w:val="false"/>
                <w:sz w:val="22"/>
                <w:szCs w:val="22"/>
                <w:lang w:val="en-US"/>
              </w:rPr>
              <w:tab/>
            </w:r>
            <w:r>
              <w:rPr>
                <w:rStyle w:val="IndexLink"/>
                <w:b w:val="false"/>
              </w:rPr>
              <w:t>Source of Funds</w:t>
            </w:r>
            <w:r>
              <w:rPr>
                <w:webHidden/>
              </w:rPr>
              <w:fldChar w:fldCharType="begin"/>
            </w:r>
            <w:r>
              <w:rPr>
                <w:webHidden/>
              </w:rPr>
              <w:instrText>PAGEREF _Toc421454189 \h</w:instrText>
            </w:r>
            <w:r>
              <w:rPr>
                <w:webHidden/>
              </w:rPr>
              <w:fldChar w:fldCharType="separate"/>
            </w:r>
            <w:r>
              <w:rPr>
                <w:rStyle w:val="IndexLink"/>
                <w:b w:val="false"/>
                <w:vanish w:val="false"/>
              </w:rPr>
              <w:tab/>
              <w:t>1</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190">
            <w:r>
              <w:rPr>
                <w:webHidden/>
                <w:rStyle w:val="IndexLink"/>
                <w:b w:val="false"/>
                <w:vanish w:val="false"/>
                <w:lang w:val="en-GB"/>
              </w:rPr>
              <w:t>4.</w:t>
            </w:r>
            <w:r>
              <w:rPr>
                <w:rStyle w:val="IndexLink"/>
                <w:rFonts w:cs="Times New Roman" w:ascii="Calibri" w:hAnsi="Calibri"/>
                <w:b w:val="false"/>
                <w:bCs w:val="false"/>
                <w:sz w:val="22"/>
                <w:szCs w:val="22"/>
                <w:lang w:val="en-US"/>
              </w:rPr>
              <w:tab/>
            </w:r>
            <w:r>
              <w:rPr>
                <w:rStyle w:val="IndexLink"/>
                <w:b w:val="false"/>
              </w:rPr>
              <w:t>Corrupt, Fraudulent, Collusive,  Coercive (or Obstructive in case of Development Partner) Practices</w:t>
            </w:r>
            <w:r>
              <w:rPr>
                <w:webHidden/>
              </w:rPr>
              <w:fldChar w:fldCharType="begin"/>
            </w:r>
            <w:r>
              <w:rPr>
                <w:webHidden/>
              </w:rPr>
              <w:instrText>PAGEREF _Toc421454190 \h</w:instrText>
            </w:r>
            <w:r>
              <w:rPr>
                <w:webHidden/>
              </w:rPr>
              <w:fldChar w:fldCharType="separate"/>
            </w:r>
            <w:r>
              <w:rPr>
                <w:rStyle w:val="IndexLink"/>
                <w:b w:val="false"/>
                <w:vanish w:val="false"/>
              </w:rPr>
              <w:tab/>
              <w:t>2</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191">
            <w:r>
              <w:rPr>
                <w:webHidden/>
                <w:rStyle w:val="IndexLink"/>
                <w:b w:val="false"/>
                <w:vanish w:val="false"/>
                <w:lang w:val="en-GB"/>
              </w:rPr>
              <w:t>5.</w:t>
            </w:r>
            <w:r>
              <w:rPr>
                <w:rStyle w:val="IndexLink"/>
                <w:rFonts w:cs="Times New Roman" w:ascii="Calibri" w:hAnsi="Calibri"/>
                <w:b w:val="false"/>
                <w:bCs w:val="false"/>
                <w:sz w:val="22"/>
                <w:szCs w:val="22"/>
                <w:lang w:val="en-US"/>
              </w:rPr>
              <w:tab/>
            </w:r>
            <w:r>
              <w:rPr>
                <w:rStyle w:val="IndexLink"/>
                <w:b w:val="false"/>
              </w:rPr>
              <w:t>Eligible Tenderers</w:t>
            </w:r>
            <w:r>
              <w:rPr>
                <w:webHidden/>
              </w:rPr>
              <w:fldChar w:fldCharType="begin"/>
            </w:r>
            <w:r>
              <w:rPr>
                <w:webHidden/>
              </w:rPr>
              <w:instrText>PAGEREF _Toc421454191 \h</w:instrText>
            </w:r>
            <w:r>
              <w:rPr>
                <w:webHidden/>
              </w:rPr>
              <w:fldChar w:fldCharType="separate"/>
            </w:r>
            <w:r>
              <w:rPr>
                <w:rStyle w:val="IndexLink"/>
                <w:b w:val="false"/>
                <w:vanish w:val="false"/>
              </w:rPr>
              <w:tab/>
              <w:t>4</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192">
            <w:r>
              <w:rPr>
                <w:webHidden/>
                <w:rStyle w:val="IndexLink"/>
                <w:b w:val="false"/>
                <w:vanish w:val="false"/>
                <w:lang w:val="en-GB"/>
              </w:rPr>
              <w:t>6.</w:t>
            </w:r>
            <w:r>
              <w:rPr>
                <w:rStyle w:val="IndexLink"/>
                <w:rFonts w:cs="Times New Roman" w:ascii="Calibri" w:hAnsi="Calibri"/>
                <w:b w:val="false"/>
                <w:bCs w:val="false"/>
                <w:sz w:val="22"/>
                <w:szCs w:val="22"/>
                <w:lang w:val="en-US"/>
              </w:rPr>
              <w:tab/>
            </w:r>
            <w:r>
              <w:rPr>
                <w:rStyle w:val="IndexLink"/>
                <w:b w:val="false"/>
              </w:rPr>
              <w:t>Eligible Goods and Related Services</w:t>
            </w:r>
            <w:r>
              <w:rPr>
                <w:webHidden/>
              </w:rPr>
              <w:fldChar w:fldCharType="begin"/>
            </w:r>
            <w:r>
              <w:rPr>
                <w:webHidden/>
              </w:rPr>
              <w:instrText>PAGEREF _Toc421454192 \h</w:instrText>
            </w:r>
            <w:r>
              <w:rPr>
                <w:webHidden/>
              </w:rPr>
              <w:fldChar w:fldCharType="separate"/>
            </w:r>
            <w:r>
              <w:rPr>
                <w:rStyle w:val="IndexLink"/>
                <w:b w:val="false"/>
                <w:vanish w:val="false"/>
              </w:rPr>
              <w:tab/>
              <w:t>4</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193">
            <w:r>
              <w:rPr>
                <w:webHidden/>
                <w:rStyle w:val="IndexLink"/>
                <w:b w:val="false"/>
                <w:vanish w:val="false"/>
                <w:lang w:val="en-GB"/>
              </w:rPr>
              <w:t>7.</w:t>
            </w:r>
            <w:r>
              <w:rPr>
                <w:rStyle w:val="IndexLink"/>
                <w:rFonts w:cs="Times New Roman" w:ascii="Calibri" w:hAnsi="Calibri"/>
                <w:b w:val="false"/>
                <w:bCs w:val="false"/>
                <w:sz w:val="22"/>
                <w:szCs w:val="22"/>
                <w:lang w:val="en-US"/>
              </w:rPr>
              <w:tab/>
            </w:r>
            <w:r>
              <w:rPr>
                <w:rStyle w:val="IndexLink"/>
                <w:b w:val="false"/>
              </w:rPr>
              <w:t>Site Visit</w:t>
            </w:r>
            <w:r>
              <w:rPr>
                <w:webHidden/>
              </w:rPr>
              <w:fldChar w:fldCharType="begin"/>
            </w:r>
            <w:r>
              <w:rPr>
                <w:webHidden/>
              </w:rPr>
              <w:instrText>PAGEREF _Toc421454193 \h</w:instrText>
            </w:r>
            <w:r>
              <w:rPr>
                <w:webHidden/>
              </w:rPr>
              <w:fldChar w:fldCharType="separate"/>
            </w:r>
            <w:r>
              <w:rPr>
                <w:rStyle w:val="IndexLink"/>
                <w:b w:val="false"/>
                <w:vanish w:val="false"/>
              </w:rPr>
              <w:tab/>
              <w:t>5</w:t>
            </w:r>
            <w:r>
              <w:rPr>
                <w:webHidden/>
              </w:rPr>
              <w:fldChar w:fldCharType="end"/>
            </w:r>
          </w:hyperlink>
        </w:p>
        <w:p>
          <w:pPr>
            <w:pStyle w:val="Contents2"/>
            <w:rPr>
              <w:rFonts w:ascii="Calibri" w:hAnsi="Calibri" w:cs="Times New Roman"/>
              <w:szCs w:val="22"/>
              <w:lang w:val="en-US"/>
            </w:rPr>
          </w:pPr>
          <w:hyperlink w:anchor="_Toc421454194">
            <w:r>
              <w:rPr>
                <w:webHidden/>
                <w:rStyle w:val="IndexLink"/>
                <w:vanish w:val="false"/>
              </w:rPr>
              <w:t>B.</w:t>
            </w:r>
            <w:r>
              <w:rPr>
                <w:rStyle w:val="IndexLink"/>
                <w:rFonts w:cs="Times New Roman" w:ascii="Calibri" w:hAnsi="Calibri"/>
                <w:szCs w:val="22"/>
                <w:lang w:val="en-US"/>
              </w:rPr>
              <w:tab/>
            </w:r>
            <w:r>
              <w:rPr>
                <w:rStyle w:val="IndexLink"/>
              </w:rPr>
              <w:t>Tender Document</w:t>
            </w:r>
            <w:r>
              <w:rPr>
                <w:webHidden/>
              </w:rPr>
              <w:fldChar w:fldCharType="begin"/>
            </w:r>
            <w:r>
              <w:rPr>
                <w:webHidden/>
              </w:rPr>
              <w:instrText>PAGEREF _Toc421454194 \h</w:instrText>
            </w:r>
            <w:r>
              <w:rPr>
                <w:webHidden/>
              </w:rPr>
              <w:fldChar w:fldCharType="separate"/>
            </w:r>
            <w:r>
              <w:rPr>
                <w:rStyle w:val="IndexLink"/>
                <w:vanish w:val="false"/>
              </w:rPr>
              <w:tab/>
              <w:t>5</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195">
            <w:r>
              <w:rPr>
                <w:webHidden/>
                <w:rStyle w:val="IndexLink"/>
                <w:b w:val="false"/>
                <w:vanish w:val="false"/>
              </w:rPr>
              <w:t>8.</w:t>
            </w:r>
            <w:r>
              <w:rPr>
                <w:rStyle w:val="IndexLink"/>
                <w:rFonts w:cs="Times New Roman" w:ascii="Calibri" w:hAnsi="Calibri"/>
                <w:b w:val="false"/>
                <w:bCs w:val="false"/>
                <w:sz w:val="22"/>
                <w:szCs w:val="22"/>
                <w:lang w:val="en-US"/>
              </w:rPr>
              <w:tab/>
            </w:r>
            <w:r>
              <w:rPr>
                <w:rStyle w:val="IndexLink"/>
                <w:b w:val="false"/>
              </w:rPr>
              <w:t>Tender Document: General</w:t>
            </w:r>
            <w:r>
              <w:rPr>
                <w:webHidden/>
              </w:rPr>
              <w:fldChar w:fldCharType="begin"/>
            </w:r>
            <w:r>
              <w:rPr>
                <w:webHidden/>
              </w:rPr>
              <w:instrText>PAGEREF _Toc421454195 \h</w:instrText>
            </w:r>
            <w:r>
              <w:rPr>
                <w:webHidden/>
              </w:rPr>
              <w:fldChar w:fldCharType="separate"/>
            </w:r>
            <w:r>
              <w:rPr>
                <w:rStyle w:val="IndexLink"/>
                <w:b w:val="false"/>
                <w:vanish w:val="false"/>
              </w:rPr>
              <w:tab/>
              <w:t>5</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196">
            <w:r>
              <w:rPr>
                <w:webHidden/>
                <w:rStyle w:val="IndexLink"/>
                <w:b w:val="false"/>
                <w:vanish w:val="false"/>
              </w:rPr>
              <w:t>9.</w:t>
            </w:r>
            <w:r>
              <w:rPr>
                <w:rStyle w:val="IndexLink"/>
                <w:rFonts w:cs="Times New Roman" w:ascii="Calibri" w:hAnsi="Calibri"/>
                <w:b w:val="false"/>
                <w:bCs w:val="false"/>
                <w:sz w:val="22"/>
                <w:szCs w:val="22"/>
                <w:lang w:val="en-US"/>
              </w:rPr>
              <w:tab/>
            </w:r>
            <w:r>
              <w:rPr>
                <w:rStyle w:val="IndexLink"/>
                <w:b w:val="false"/>
              </w:rPr>
              <w:t>Clarification of Tender Documents</w:t>
            </w:r>
            <w:r>
              <w:rPr>
                <w:webHidden/>
              </w:rPr>
              <w:fldChar w:fldCharType="begin"/>
            </w:r>
            <w:r>
              <w:rPr>
                <w:webHidden/>
              </w:rPr>
              <w:instrText>PAGEREF _Toc421454196 \h</w:instrText>
            </w:r>
            <w:r>
              <w:rPr>
                <w:webHidden/>
              </w:rPr>
              <w:fldChar w:fldCharType="separate"/>
            </w:r>
            <w:r>
              <w:rPr>
                <w:rStyle w:val="IndexLink"/>
                <w:b w:val="false"/>
                <w:vanish w:val="false"/>
              </w:rPr>
              <w:tab/>
              <w:t>5</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197">
            <w:r>
              <w:rPr>
                <w:webHidden/>
                <w:rStyle w:val="IndexLink"/>
                <w:b w:val="false"/>
                <w:vanish w:val="false"/>
                <w:lang w:val="en-GB"/>
              </w:rPr>
              <w:t>10.</w:t>
            </w:r>
            <w:r>
              <w:rPr>
                <w:rStyle w:val="IndexLink"/>
                <w:rFonts w:cs="Times New Roman" w:ascii="Calibri" w:hAnsi="Calibri"/>
                <w:b w:val="false"/>
                <w:bCs w:val="false"/>
                <w:sz w:val="22"/>
                <w:szCs w:val="22"/>
                <w:lang w:val="en-US"/>
              </w:rPr>
              <w:tab/>
            </w:r>
            <w:r>
              <w:rPr>
                <w:rStyle w:val="IndexLink"/>
                <w:b w:val="false"/>
              </w:rPr>
              <w:t>Pre-Tender Meeting</w:t>
            </w:r>
            <w:r>
              <w:rPr>
                <w:webHidden/>
              </w:rPr>
              <w:fldChar w:fldCharType="begin"/>
            </w:r>
            <w:r>
              <w:rPr>
                <w:webHidden/>
              </w:rPr>
              <w:instrText>PAGEREF _Toc421454197 \h</w:instrText>
            </w:r>
            <w:r>
              <w:rPr>
                <w:webHidden/>
              </w:rPr>
              <w:fldChar w:fldCharType="separate"/>
            </w:r>
            <w:r>
              <w:rPr>
                <w:rStyle w:val="IndexLink"/>
                <w:b w:val="false"/>
                <w:vanish w:val="false"/>
              </w:rPr>
              <w:tab/>
              <w:t>6</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198">
            <w:r>
              <w:rPr>
                <w:webHidden/>
                <w:rStyle w:val="IndexLink"/>
                <w:b w:val="false"/>
                <w:vanish w:val="false"/>
              </w:rPr>
              <w:t>11.</w:t>
            </w:r>
            <w:r>
              <w:rPr>
                <w:rStyle w:val="IndexLink"/>
                <w:rFonts w:cs="Times New Roman" w:ascii="Calibri" w:hAnsi="Calibri"/>
                <w:b w:val="false"/>
                <w:bCs w:val="false"/>
                <w:sz w:val="22"/>
                <w:szCs w:val="22"/>
                <w:lang w:val="en-US"/>
              </w:rPr>
              <w:tab/>
            </w:r>
            <w:r>
              <w:rPr>
                <w:rStyle w:val="IndexLink"/>
                <w:b w:val="false"/>
              </w:rPr>
              <w:t>Addendum to Tender Documents</w:t>
            </w:r>
            <w:r>
              <w:rPr>
                <w:webHidden/>
              </w:rPr>
              <w:fldChar w:fldCharType="begin"/>
            </w:r>
            <w:r>
              <w:rPr>
                <w:webHidden/>
              </w:rPr>
              <w:instrText>PAGEREF _Toc421454198 \h</w:instrText>
            </w:r>
            <w:r>
              <w:rPr>
                <w:webHidden/>
              </w:rPr>
              <w:fldChar w:fldCharType="separate"/>
            </w:r>
            <w:r>
              <w:rPr>
                <w:rStyle w:val="IndexLink"/>
                <w:b w:val="false"/>
                <w:vanish w:val="false"/>
              </w:rPr>
              <w:tab/>
              <w:t>6</w:t>
            </w:r>
            <w:r>
              <w:rPr>
                <w:webHidden/>
              </w:rPr>
              <w:fldChar w:fldCharType="end"/>
            </w:r>
          </w:hyperlink>
        </w:p>
        <w:p>
          <w:pPr>
            <w:pStyle w:val="Contents2"/>
            <w:rPr>
              <w:rFonts w:ascii="Calibri" w:hAnsi="Calibri" w:cs="Times New Roman"/>
              <w:szCs w:val="22"/>
              <w:lang w:val="en-US"/>
            </w:rPr>
          </w:pPr>
          <w:hyperlink w:anchor="_Toc421454199">
            <w:r>
              <w:rPr>
                <w:webHidden/>
                <w:rStyle w:val="IndexLink"/>
                <w:vanish w:val="false"/>
              </w:rPr>
              <w:t>C.</w:t>
            </w:r>
            <w:r>
              <w:rPr>
                <w:rStyle w:val="IndexLink"/>
                <w:rFonts w:cs="Times New Roman" w:ascii="Calibri" w:hAnsi="Calibri"/>
                <w:szCs w:val="22"/>
                <w:lang w:val="en-US"/>
              </w:rPr>
              <w:tab/>
            </w:r>
            <w:r>
              <w:rPr>
                <w:rStyle w:val="IndexLink"/>
              </w:rPr>
              <w:t>Qualification Criteria</w:t>
            </w:r>
            <w:r>
              <w:rPr>
                <w:webHidden/>
              </w:rPr>
              <w:fldChar w:fldCharType="begin"/>
            </w:r>
            <w:r>
              <w:rPr>
                <w:webHidden/>
              </w:rPr>
              <w:instrText>PAGEREF _Toc421454199 \h</w:instrText>
            </w:r>
            <w:r>
              <w:rPr>
                <w:webHidden/>
              </w:rPr>
              <w:fldChar w:fldCharType="separate"/>
            </w:r>
            <w:r>
              <w:rPr>
                <w:rStyle w:val="IndexLink"/>
                <w:vanish w:val="false"/>
              </w:rPr>
              <w:tab/>
              <w:t>7</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00">
            <w:r>
              <w:rPr>
                <w:webHidden/>
                <w:rStyle w:val="IndexLink"/>
                <w:b w:val="false"/>
                <w:vanish w:val="false"/>
                <w:lang w:val="en-GB"/>
              </w:rPr>
              <w:t>12.</w:t>
            </w:r>
            <w:r>
              <w:rPr>
                <w:rStyle w:val="IndexLink"/>
                <w:rFonts w:cs="Times New Roman" w:ascii="Calibri" w:hAnsi="Calibri"/>
                <w:b w:val="false"/>
                <w:bCs w:val="false"/>
                <w:sz w:val="22"/>
                <w:szCs w:val="22"/>
                <w:lang w:val="en-US"/>
              </w:rPr>
              <w:tab/>
            </w:r>
            <w:r>
              <w:rPr>
                <w:rStyle w:val="IndexLink"/>
                <w:b w:val="false"/>
              </w:rPr>
              <w:t>General Criteria</w:t>
            </w:r>
            <w:r>
              <w:rPr>
                <w:webHidden/>
              </w:rPr>
              <w:fldChar w:fldCharType="begin"/>
            </w:r>
            <w:r>
              <w:rPr>
                <w:webHidden/>
              </w:rPr>
              <w:instrText>PAGEREF _Toc421454200 \h</w:instrText>
            </w:r>
            <w:r>
              <w:rPr>
                <w:webHidden/>
              </w:rPr>
              <w:fldChar w:fldCharType="separate"/>
            </w:r>
            <w:r>
              <w:rPr>
                <w:rStyle w:val="IndexLink"/>
                <w:b w:val="false"/>
                <w:vanish w:val="false"/>
              </w:rPr>
              <w:tab/>
              <w:t>7</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01">
            <w:r>
              <w:rPr>
                <w:webHidden/>
                <w:rStyle w:val="IndexLink"/>
                <w:b w:val="false"/>
                <w:vanish w:val="false"/>
              </w:rPr>
              <w:t>13.</w:t>
            </w:r>
            <w:r>
              <w:rPr>
                <w:rStyle w:val="IndexLink"/>
                <w:rFonts w:cs="Times New Roman" w:ascii="Calibri" w:hAnsi="Calibri"/>
                <w:b w:val="false"/>
                <w:bCs w:val="false"/>
                <w:sz w:val="22"/>
                <w:szCs w:val="22"/>
                <w:lang w:val="en-US"/>
              </w:rPr>
              <w:tab/>
            </w:r>
            <w:r>
              <w:rPr>
                <w:rStyle w:val="IndexLink"/>
                <w:b w:val="false"/>
              </w:rPr>
              <w:t>Litigation History</w:t>
            </w:r>
            <w:r>
              <w:rPr>
                <w:webHidden/>
              </w:rPr>
              <w:fldChar w:fldCharType="begin"/>
            </w:r>
            <w:r>
              <w:rPr>
                <w:webHidden/>
              </w:rPr>
              <w:instrText>PAGEREF _Toc421454201 \h</w:instrText>
            </w:r>
            <w:r>
              <w:rPr>
                <w:webHidden/>
              </w:rPr>
              <w:fldChar w:fldCharType="separate"/>
            </w:r>
            <w:r>
              <w:rPr>
                <w:rStyle w:val="IndexLink"/>
                <w:b w:val="false"/>
                <w:vanish w:val="false"/>
              </w:rPr>
              <w:tab/>
              <w:t>7</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02">
            <w:r>
              <w:rPr>
                <w:webHidden/>
                <w:rStyle w:val="IndexLink"/>
                <w:b w:val="false"/>
                <w:vanish w:val="false"/>
                <w:spacing w:val="-20"/>
              </w:rPr>
              <w:t>14.</w:t>
            </w:r>
            <w:r>
              <w:rPr>
                <w:rStyle w:val="IndexLink"/>
                <w:rFonts w:cs="Times New Roman" w:ascii="Calibri" w:hAnsi="Calibri"/>
                <w:b w:val="false"/>
                <w:bCs w:val="false"/>
                <w:sz w:val="22"/>
                <w:szCs w:val="22"/>
                <w:lang w:val="en-US"/>
              </w:rPr>
              <w:tab/>
            </w:r>
            <w:r>
              <w:rPr>
                <w:rStyle w:val="IndexLink"/>
                <w:b w:val="false"/>
              </w:rPr>
              <w:t>Experience Criteria</w:t>
            </w:r>
            <w:r>
              <w:rPr>
                <w:webHidden/>
              </w:rPr>
              <w:fldChar w:fldCharType="begin"/>
            </w:r>
            <w:r>
              <w:rPr>
                <w:webHidden/>
              </w:rPr>
              <w:instrText>PAGEREF _Toc421454202 \h</w:instrText>
            </w:r>
            <w:r>
              <w:rPr>
                <w:webHidden/>
              </w:rPr>
              <w:fldChar w:fldCharType="separate"/>
            </w:r>
            <w:r>
              <w:rPr>
                <w:rStyle w:val="IndexLink"/>
                <w:b w:val="false"/>
                <w:vanish w:val="false"/>
              </w:rPr>
              <w:tab/>
              <w:t>7</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03">
            <w:r>
              <w:rPr>
                <w:webHidden/>
                <w:rStyle w:val="IndexLink"/>
                <w:b w:val="false"/>
                <w:vanish w:val="false"/>
              </w:rPr>
              <w:t>15.</w:t>
            </w:r>
            <w:r>
              <w:rPr>
                <w:rStyle w:val="IndexLink"/>
                <w:rFonts w:cs="Times New Roman" w:ascii="Calibri" w:hAnsi="Calibri"/>
                <w:b w:val="false"/>
                <w:bCs w:val="false"/>
                <w:sz w:val="22"/>
                <w:szCs w:val="22"/>
                <w:lang w:val="en-US"/>
              </w:rPr>
              <w:tab/>
            </w:r>
            <w:r>
              <w:rPr>
                <w:rStyle w:val="IndexLink"/>
                <w:b w:val="false"/>
              </w:rPr>
              <w:t>Financial Criteria</w:t>
            </w:r>
            <w:r>
              <w:rPr>
                <w:webHidden/>
              </w:rPr>
              <w:fldChar w:fldCharType="begin"/>
            </w:r>
            <w:r>
              <w:rPr>
                <w:webHidden/>
              </w:rPr>
              <w:instrText>PAGEREF _Toc421454203 \h</w:instrText>
            </w:r>
            <w:r>
              <w:rPr>
                <w:webHidden/>
              </w:rPr>
              <w:fldChar w:fldCharType="separate"/>
            </w:r>
            <w:r>
              <w:rPr>
                <w:rStyle w:val="IndexLink"/>
                <w:b w:val="false"/>
                <w:vanish w:val="false"/>
              </w:rPr>
              <w:tab/>
              <w:t>7</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04">
            <w:r>
              <w:rPr>
                <w:webHidden/>
                <w:rStyle w:val="IndexLink"/>
                <w:b w:val="false"/>
                <w:vanish w:val="false"/>
              </w:rPr>
              <w:t>16.</w:t>
            </w:r>
            <w:r>
              <w:rPr>
                <w:rStyle w:val="IndexLink"/>
                <w:rFonts w:cs="Times New Roman" w:ascii="Calibri" w:hAnsi="Calibri"/>
                <w:b w:val="false"/>
                <w:bCs w:val="false"/>
                <w:sz w:val="22"/>
                <w:szCs w:val="22"/>
                <w:lang w:val="en-US"/>
              </w:rPr>
              <w:tab/>
            </w:r>
            <w:r>
              <w:rPr>
                <w:rStyle w:val="IndexLink"/>
                <w:b w:val="false"/>
              </w:rPr>
              <w:t>Subcontractor(s)</w:t>
            </w:r>
            <w:r>
              <w:rPr>
                <w:webHidden/>
              </w:rPr>
              <w:fldChar w:fldCharType="begin"/>
            </w:r>
            <w:r>
              <w:rPr>
                <w:webHidden/>
              </w:rPr>
              <w:instrText>PAGEREF _Toc421454204 \h</w:instrText>
            </w:r>
            <w:r>
              <w:rPr>
                <w:webHidden/>
              </w:rPr>
              <w:fldChar w:fldCharType="separate"/>
            </w:r>
            <w:r>
              <w:rPr>
                <w:rStyle w:val="IndexLink"/>
                <w:b w:val="false"/>
                <w:vanish w:val="false"/>
              </w:rPr>
              <w:tab/>
              <w:t>8</w:t>
            </w:r>
            <w:r>
              <w:rPr>
                <w:webHidden/>
              </w:rPr>
              <w:fldChar w:fldCharType="end"/>
            </w:r>
          </w:hyperlink>
        </w:p>
        <w:p>
          <w:pPr>
            <w:pStyle w:val="Contents2"/>
            <w:rPr/>
          </w:pPr>
          <w:hyperlink w:anchor="_Toc421454206">
            <w:r>
              <w:rPr>
                <w:webHidden/>
              </w:rPr>
              <w:fldChar w:fldCharType="begin"/>
            </w:r>
            <w:r>
              <w:rPr>
                <w:webHidden/>
              </w:rPr>
              <w:instrText>PAGEREF _Toc421454206 \h</w:instrText>
            </w:r>
            <w:r>
              <w:rPr>
                <w:webHidden/>
              </w:rPr>
              <w:fldChar w:fldCharType="separate"/>
            </w:r>
            <w:r>
              <w:rPr>
                <w:webHidden/>
                <w:rStyle w:val="IndexLink"/>
                <w:vanish w:val="false"/>
              </w:rPr>
              <w:t>D.</w:t>
              <w:tab/>
              <w:t>Tender Preparation</w:t>
              <w:tab/>
              <w:t>8</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07">
            <w:r>
              <w:rPr>
                <w:webHidden/>
                <w:rStyle w:val="IndexLink"/>
                <w:b w:val="false"/>
                <w:vanish w:val="false"/>
                <w:lang w:val="en-GB"/>
              </w:rPr>
              <w:t>17.</w:t>
            </w:r>
            <w:r>
              <w:rPr>
                <w:rStyle w:val="IndexLink"/>
                <w:rFonts w:cs="Times New Roman" w:ascii="Calibri" w:hAnsi="Calibri"/>
                <w:b w:val="false"/>
                <w:bCs w:val="false"/>
                <w:sz w:val="22"/>
                <w:szCs w:val="22"/>
                <w:lang w:val="en-US"/>
              </w:rPr>
              <w:tab/>
            </w:r>
            <w:r>
              <w:rPr>
                <w:rStyle w:val="IndexLink"/>
                <w:b w:val="false"/>
              </w:rPr>
              <w:t>Only One Tender</w:t>
            </w:r>
            <w:r>
              <w:rPr>
                <w:webHidden/>
              </w:rPr>
              <w:fldChar w:fldCharType="begin"/>
            </w:r>
            <w:r>
              <w:rPr>
                <w:webHidden/>
              </w:rPr>
              <w:instrText>PAGEREF _Toc421454207 \h</w:instrText>
            </w:r>
            <w:r>
              <w:rPr>
                <w:webHidden/>
              </w:rPr>
              <w:fldChar w:fldCharType="separate"/>
            </w:r>
            <w:r>
              <w:rPr>
                <w:rStyle w:val="IndexLink"/>
                <w:b w:val="false"/>
                <w:vanish w:val="false"/>
              </w:rPr>
              <w:tab/>
              <w:t>8</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08">
            <w:r>
              <w:rPr>
                <w:webHidden/>
                <w:rStyle w:val="IndexLink"/>
                <w:b w:val="false"/>
                <w:vanish w:val="false"/>
                <w:lang w:val="en-GB"/>
              </w:rPr>
              <w:t>18.</w:t>
            </w:r>
            <w:r>
              <w:rPr>
                <w:rStyle w:val="IndexLink"/>
                <w:rFonts w:cs="Times New Roman" w:ascii="Calibri" w:hAnsi="Calibri"/>
                <w:b w:val="false"/>
                <w:bCs w:val="false"/>
                <w:sz w:val="22"/>
                <w:szCs w:val="22"/>
                <w:lang w:val="en-US"/>
              </w:rPr>
              <w:tab/>
            </w:r>
            <w:r>
              <w:rPr>
                <w:rStyle w:val="IndexLink"/>
                <w:b w:val="false"/>
              </w:rPr>
              <w:t>Cost of Tendering</w:t>
            </w:r>
            <w:r>
              <w:rPr>
                <w:webHidden/>
              </w:rPr>
              <w:fldChar w:fldCharType="begin"/>
            </w:r>
            <w:r>
              <w:rPr>
                <w:webHidden/>
              </w:rPr>
              <w:instrText>PAGEREF _Toc421454208 \h</w:instrText>
            </w:r>
            <w:r>
              <w:rPr>
                <w:webHidden/>
              </w:rPr>
              <w:fldChar w:fldCharType="separate"/>
            </w:r>
            <w:r>
              <w:rPr>
                <w:rStyle w:val="IndexLink"/>
                <w:b w:val="false"/>
                <w:vanish w:val="false"/>
              </w:rPr>
              <w:tab/>
              <w:t>8</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09">
            <w:r>
              <w:rPr>
                <w:webHidden/>
                <w:rStyle w:val="IndexLink"/>
                <w:b w:val="false"/>
                <w:vanish w:val="false"/>
                <w:lang w:val="en-GB"/>
              </w:rPr>
              <w:t>19.</w:t>
            </w:r>
            <w:r>
              <w:rPr>
                <w:rStyle w:val="IndexLink"/>
                <w:rFonts w:cs="Times New Roman" w:ascii="Calibri" w:hAnsi="Calibri"/>
                <w:b w:val="false"/>
                <w:bCs w:val="false"/>
                <w:sz w:val="22"/>
                <w:szCs w:val="22"/>
                <w:lang w:val="en-US"/>
              </w:rPr>
              <w:tab/>
            </w:r>
            <w:r>
              <w:rPr>
                <w:rStyle w:val="IndexLink"/>
                <w:b w:val="false"/>
              </w:rPr>
              <w:t>Issuance and Sale of Tender Document</w:t>
            </w:r>
            <w:r>
              <w:rPr>
                <w:webHidden/>
              </w:rPr>
              <w:fldChar w:fldCharType="begin"/>
            </w:r>
            <w:r>
              <w:rPr>
                <w:webHidden/>
              </w:rPr>
              <w:instrText>PAGEREF _Toc421454209 \h</w:instrText>
            </w:r>
            <w:r>
              <w:rPr>
                <w:webHidden/>
              </w:rPr>
              <w:fldChar w:fldCharType="separate"/>
            </w:r>
            <w:r>
              <w:rPr>
                <w:rStyle w:val="IndexLink"/>
                <w:b w:val="false"/>
                <w:vanish w:val="false"/>
              </w:rPr>
              <w:tab/>
              <w:t>8</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10">
            <w:r>
              <w:rPr>
                <w:webHidden/>
                <w:rStyle w:val="IndexLink"/>
                <w:b w:val="false"/>
                <w:vanish w:val="false"/>
                <w:lang w:val="en-GB"/>
              </w:rPr>
              <w:t>20.</w:t>
            </w:r>
            <w:r>
              <w:rPr>
                <w:rStyle w:val="IndexLink"/>
                <w:rFonts w:cs="Times New Roman" w:ascii="Calibri" w:hAnsi="Calibri"/>
                <w:b w:val="false"/>
                <w:bCs w:val="false"/>
                <w:sz w:val="22"/>
                <w:szCs w:val="22"/>
                <w:lang w:val="en-US"/>
              </w:rPr>
              <w:tab/>
            </w:r>
            <w:r>
              <w:rPr>
                <w:rStyle w:val="IndexLink"/>
                <w:b w:val="false"/>
              </w:rPr>
              <w:t>Language of Tender</w:t>
            </w:r>
            <w:r>
              <w:rPr>
                <w:webHidden/>
              </w:rPr>
              <w:fldChar w:fldCharType="begin"/>
            </w:r>
            <w:r>
              <w:rPr>
                <w:webHidden/>
              </w:rPr>
              <w:instrText>PAGEREF _Toc421454210 \h</w:instrText>
            </w:r>
            <w:r>
              <w:rPr>
                <w:webHidden/>
              </w:rPr>
              <w:fldChar w:fldCharType="separate"/>
            </w:r>
            <w:r>
              <w:rPr>
                <w:rStyle w:val="IndexLink"/>
                <w:b w:val="false"/>
                <w:vanish w:val="false"/>
              </w:rPr>
              <w:tab/>
              <w:t>9</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11">
            <w:r>
              <w:rPr>
                <w:webHidden/>
                <w:rStyle w:val="IndexLink"/>
                <w:b w:val="false"/>
                <w:vanish w:val="false"/>
                <w:spacing w:val="-20"/>
              </w:rPr>
              <w:t>21.</w:t>
            </w:r>
            <w:r>
              <w:rPr>
                <w:rStyle w:val="IndexLink"/>
                <w:rFonts w:cs="Times New Roman" w:ascii="Calibri" w:hAnsi="Calibri"/>
                <w:b w:val="false"/>
                <w:bCs w:val="false"/>
                <w:sz w:val="22"/>
                <w:szCs w:val="22"/>
                <w:lang w:val="en-US"/>
              </w:rPr>
              <w:tab/>
            </w:r>
            <w:r>
              <w:rPr>
                <w:rStyle w:val="IndexLink"/>
                <w:b w:val="false"/>
              </w:rPr>
              <w:t>Contents of Tender</w:t>
            </w:r>
            <w:r>
              <w:rPr>
                <w:webHidden/>
              </w:rPr>
              <w:fldChar w:fldCharType="begin"/>
            </w:r>
            <w:r>
              <w:rPr>
                <w:webHidden/>
              </w:rPr>
              <w:instrText>PAGEREF _Toc421454211 \h</w:instrText>
            </w:r>
            <w:r>
              <w:rPr>
                <w:webHidden/>
              </w:rPr>
              <w:fldChar w:fldCharType="separate"/>
            </w:r>
            <w:r>
              <w:rPr>
                <w:rStyle w:val="IndexLink"/>
                <w:b w:val="false"/>
                <w:vanish w:val="false"/>
              </w:rPr>
              <w:tab/>
              <w:t>9</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12">
            <w:r>
              <w:rPr>
                <w:webHidden/>
                <w:rStyle w:val="IndexLink"/>
                <w:b w:val="false"/>
                <w:vanish w:val="false"/>
              </w:rPr>
              <w:t>22.</w:t>
            </w:r>
            <w:r>
              <w:rPr>
                <w:rStyle w:val="IndexLink"/>
                <w:rFonts w:cs="Times New Roman" w:ascii="Calibri" w:hAnsi="Calibri"/>
                <w:b w:val="false"/>
                <w:bCs w:val="false"/>
                <w:sz w:val="22"/>
                <w:szCs w:val="22"/>
                <w:lang w:val="en-US"/>
              </w:rPr>
              <w:tab/>
            </w:r>
            <w:r>
              <w:rPr>
                <w:rStyle w:val="IndexLink"/>
                <w:b w:val="false"/>
              </w:rPr>
              <w:t>Tender Submission Letter and Price Schedule</w:t>
            </w:r>
            <w:r>
              <w:rPr>
                <w:webHidden/>
              </w:rPr>
              <w:fldChar w:fldCharType="begin"/>
            </w:r>
            <w:r>
              <w:rPr>
                <w:webHidden/>
              </w:rPr>
              <w:instrText>PAGEREF _Toc421454212 \h</w:instrText>
            </w:r>
            <w:r>
              <w:rPr>
                <w:webHidden/>
              </w:rPr>
              <w:fldChar w:fldCharType="separate"/>
            </w:r>
            <w:r>
              <w:rPr>
                <w:rStyle w:val="IndexLink"/>
                <w:b w:val="false"/>
                <w:vanish w:val="false"/>
              </w:rPr>
              <w:tab/>
              <w:t>9</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13">
            <w:r>
              <w:rPr>
                <w:webHidden/>
                <w:rStyle w:val="IndexLink"/>
                <w:b w:val="false"/>
                <w:vanish w:val="false"/>
                <w:lang w:val="en-GB"/>
              </w:rPr>
              <w:t>23.</w:t>
            </w:r>
            <w:r>
              <w:rPr>
                <w:rStyle w:val="IndexLink"/>
                <w:rFonts w:cs="Times New Roman" w:ascii="Calibri" w:hAnsi="Calibri"/>
                <w:b w:val="false"/>
                <w:bCs w:val="false"/>
                <w:sz w:val="22"/>
                <w:szCs w:val="22"/>
                <w:lang w:val="en-US"/>
              </w:rPr>
              <w:tab/>
            </w:r>
            <w:r>
              <w:rPr>
                <w:rStyle w:val="IndexLink"/>
                <w:b w:val="false"/>
              </w:rPr>
              <w:t>Alternatives</w:t>
            </w:r>
            <w:r>
              <w:rPr>
                <w:webHidden/>
              </w:rPr>
              <w:fldChar w:fldCharType="begin"/>
            </w:r>
            <w:r>
              <w:rPr>
                <w:webHidden/>
              </w:rPr>
              <w:instrText>PAGEREF _Toc421454213 \h</w:instrText>
            </w:r>
            <w:r>
              <w:rPr>
                <w:webHidden/>
              </w:rPr>
              <w:fldChar w:fldCharType="separate"/>
            </w:r>
            <w:r>
              <w:rPr>
                <w:rStyle w:val="IndexLink"/>
                <w:b w:val="false"/>
                <w:vanish w:val="false"/>
              </w:rPr>
              <w:tab/>
              <w:t>10</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14">
            <w:r>
              <w:rPr>
                <w:webHidden/>
                <w:rStyle w:val="IndexLink"/>
                <w:b w:val="false"/>
                <w:vanish w:val="false"/>
              </w:rPr>
              <w:t>24.</w:t>
            </w:r>
            <w:r>
              <w:rPr>
                <w:rStyle w:val="IndexLink"/>
                <w:rFonts w:cs="Times New Roman" w:ascii="Calibri" w:hAnsi="Calibri"/>
                <w:b w:val="false"/>
                <w:bCs w:val="false"/>
                <w:sz w:val="22"/>
                <w:szCs w:val="22"/>
                <w:lang w:val="en-US"/>
              </w:rPr>
              <w:tab/>
            </w:r>
            <w:r>
              <w:rPr>
                <w:rStyle w:val="IndexLink"/>
                <w:b w:val="false"/>
              </w:rPr>
              <w:t>Tender Prices and Discounts</w:t>
            </w:r>
            <w:r>
              <w:rPr>
                <w:webHidden/>
              </w:rPr>
              <w:fldChar w:fldCharType="begin"/>
            </w:r>
            <w:r>
              <w:rPr>
                <w:webHidden/>
              </w:rPr>
              <w:instrText>PAGEREF _Toc421454214 \h</w:instrText>
            </w:r>
            <w:r>
              <w:rPr>
                <w:webHidden/>
              </w:rPr>
              <w:fldChar w:fldCharType="separate"/>
            </w:r>
            <w:r>
              <w:rPr>
                <w:rStyle w:val="IndexLink"/>
                <w:b w:val="false"/>
                <w:vanish w:val="false"/>
              </w:rPr>
              <w:tab/>
              <w:t>10</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16">
            <w:r>
              <w:rPr>
                <w:webHidden/>
                <w:rStyle w:val="IndexLink"/>
                <w:b w:val="false"/>
                <w:vanish w:val="false"/>
              </w:rPr>
              <w:t>25.</w:t>
            </w:r>
            <w:r>
              <w:rPr>
                <w:rStyle w:val="IndexLink"/>
                <w:rFonts w:cs="Times New Roman" w:ascii="Calibri" w:hAnsi="Calibri"/>
                <w:b w:val="false"/>
                <w:bCs w:val="false"/>
                <w:sz w:val="22"/>
                <w:szCs w:val="22"/>
                <w:lang w:val="en-US"/>
              </w:rPr>
              <w:tab/>
            </w:r>
            <w:r>
              <w:rPr>
                <w:rStyle w:val="IndexLink"/>
                <w:b w:val="false"/>
              </w:rPr>
              <w:t>Tender Currency</w:t>
            </w:r>
            <w:r>
              <w:rPr>
                <w:webHidden/>
              </w:rPr>
              <w:fldChar w:fldCharType="begin"/>
            </w:r>
            <w:r>
              <w:rPr>
                <w:webHidden/>
              </w:rPr>
              <w:instrText>PAGEREF _Toc421454216 \h</w:instrText>
            </w:r>
            <w:r>
              <w:rPr>
                <w:webHidden/>
              </w:rPr>
              <w:fldChar w:fldCharType="separate"/>
            </w:r>
            <w:r>
              <w:rPr>
                <w:rStyle w:val="IndexLink"/>
                <w:b w:val="false"/>
                <w:vanish w:val="false"/>
              </w:rPr>
              <w:tab/>
              <w:t>11</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17">
            <w:r>
              <w:rPr>
                <w:webHidden/>
                <w:rStyle w:val="IndexLink"/>
                <w:b w:val="false"/>
                <w:vanish w:val="false"/>
              </w:rPr>
              <w:t>26.</w:t>
            </w:r>
            <w:r>
              <w:rPr>
                <w:rStyle w:val="IndexLink"/>
                <w:rFonts w:cs="Times New Roman" w:ascii="Calibri" w:hAnsi="Calibri"/>
                <w:b w:val="false"/>
                <w:bCs w:val="false"/>
                <w:sz w:val="22"/>
                <w:szCs w:val="22"/>
                <w:lang w:val="en-US"/>
              </w:rPr>
              <w:tab/>
            </w:r>
            <w:r>
              <w:rPr>
                <w:rStyle w:val="IndexLink"/>
                <w:b w:val="false"/>
              </w:rPr>
              <w:t>Documents Establishing the Eligibility of the Tenderer</w:t>
            </w:r>
            <w:r>
              <w:rPr>
                <w:webHidden/>
              </w:rPr>
              <w:fldChar w:fldCharType="begin"/>
            </w:r>
            <w:r>
              <w:rPr>
                <w:webHidden/>
              </w:rPr>
              <w:instrText>PAGEREF _Toc421454217 \h</w:instrText>
            </w:r>
            <w:r>
              <w:rPr>
                <w:webHidden/>
              </w:rPr>
              <w:fldChar w:fldCharType="separate"/>
            </w:r>
            <w:r>
              <w:rPr>
                <w:rStyle w:val="IndexLink"/>
                <w:b w:val="false"/>
                <w:vanish w:val="false"/>
              </w:rPr>
              <w:tab/>
              <w:t>11</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18">
            <w:r>
              <w:rPr>
                <w:webHidden/>
                <w:rStyle w:val="IndexLink"/>
                <w:b w:val="false"/>
                <w:vanish w:val="false"/>
              </w:rPr>
              <w:t>27.</w:t>
            </w:r>
            <w:r>
              <w:rPr>
                <w:rStyle w:val="IndexLink"/>
                <w:rFonts w:cs="Times New Roman" w:ascii="Calibri" w:hAnsi="Calibri"/>
                <w:b w:val="false"/>
                <w:bCs w:val="false"/>
                <w:sz w:val="22"/>
                <w:szCs w:val="22"/>
                <w:lang w:val="en-US"/>
              </w:rPr>
              <w:tab/>
            </w:r>
            <w:r>
              <w:rPr>
                <w:rStyle w:val="IndexLink"/>
                <w:b w:val="false"/>
              </w:rPr>
              <w:t>Documents Establishing the Eligibility and Conformity of the Goods and Related services</w:t>
            </w:r>
            <w:r>
              <w:rPr>
                <w:webHidden/>
              </w:rPr>
              <w:fldChar w:fldCharType="begin"/>
            </w:r>
            <w:r>
              <w:rPr>
                <w:webHidden/>
              </w:rPr>
              <w:instrText>PAGEREF _Toc421454218 \h</w:instrText>
            </w:r>
            <w:r>
              <w:rPr>
                <w:webHidden/>
              </w:rPr>
              <w:fldChar w:fldCharType="separate"/>
            </w:r>
            <w:r>
              <w:rPr>
                <w:rStyle w:val="IndexLink"/>
                <w:b w:val="false"/>
                <w:vanish w:val="false"/>
              </w:rPr>
              <w:tab/>
              <w:t>12</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19">
            <w:r>
              <w:rPr>
                <w:webHidden/>
                <w:rStyle w:val="IndexLink"/>
                <w:b w:val="false"/>
                <w:vanish w:val="false"/>
              </w:rPr>
              <w:t>28.</w:t>
            </w:r>
            <w:r>
              <w:rPr>
                <w:rStyle w:val="IndexLink"/>
                <w:rFonts w:cs="Times New Roman" w:ascii="Calibri" w:hAnsi="Calibri"/>
                <w:b w:val="false"/>
                <w:bCs w:val="false"/>
                <w:sz w:val="22"/>
                <w:szCs w:val="22"/>
                <w:lang w:val="en-US"/>
              </w:rPr>
              <w:tab/>
            </w:r>
            <w:r>
              <w:rPr>
                <w:rStyle w:val="IndexLink"/>
                <w:b w:val="false"/>
              </w:rPr>
              <w:t>Documents Establishing the Tenderer’s Qualifications</w:t>
            </w:r>
            <w:r>
              <w:rPr>
                <w:webHidden/>
              </w:rPr>
              <w:fldChar w:fldCharType="begin"/>
            </w:r>
            <w:r>
              <w:rPr>
                <w:webHidden/>
              </w:rPr>
              <w:instrText>PAGEREF _Toc421454219 \h</w:instrText>
            </w:r>
            <w:r>
              <w:rPr>
                <w:webHidden/>
              </w:rPr>
              <w:fldChar w:fldCharType="separate"/>
            </w:r>
            <w:r>
              <w:rPr>
                <w:rStyle w:val="IndexLink"/>
                <w:b w:val="false"/>
                <w:vanish w:val="false"/>
              </w:rPr>
              <w:tab/>
              <w:t>12</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20">
            <w:r>
              <w:rPr>
                <w:webHidden/>
                <w:rStyle w:val="IndexLink"/>
                <w:b w:val="false"/>
                <w:vanish w:val="false"/>
              </w:rPr>
              <w:t>29.</w:t>
            </w:r>
            <w:r>
              <w:rPr>
                <w:rStyle w:val="IndexLink"/>
                <w:rFonts w:cs="Times New Roman" w:ascii="Calibri" w:hAnsi="Calibri"/>
                <w:b w:val="false"/>
                <w:bCs w:val="false"/>
                <w:sz w:val="22"/>
                <w:szCs w:val="22"/>
                <w:lang w:val="en-US"/>
              </w:rPr>
              <w:tab/>
            </w:r>
            <w:r>
              <w:rPr>
                <w:rStyle w:val="IndexLink"/>
                <w:b w:val="false"/>
              </w:rPr>
              <w:t>Validity Period of  Tender</w:t>
            </w:r>
            <w:r>
              <w:rPr>
                <w:webHidden/>
              </w:rPr>
              <w:fldChar w:fldCharType="begin"/>
            </w:r>
            <w:r>
              <w:rPr>
                <w:webHidden/>
              </w:rPr>
              <w:instrText>PAGEREF _Toc421454220 \h</w:instrText>
            </w:r>
            <w:r>
              <w:rPr>
                <w:webHidden/>
              </w:rPr>
              <w:fldChar w:fldCharType="separate"/>
            </w:r>
            <w:r>
              <w:rPr>
                <w:rStyle w:val="IndexLink"/>
                <w:b w:val="false"/>
                <w:vanish w:val="false"/>
              </w:rPr>
              <w:tab/>
              <w:t>13</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21">
            <w:r>
              <w:rPr>
                <w:webHidden/>
                <w:rStyle w:val="IndexLink"/>
                <w:b w:val="false"/>
                <w:vanish w:val="false"/>
              </w:rPr>
              <w:t>30.</w:t>
            </w:r>
            <w:r>
              <w:rPr>
                <w:rStyle w:val="IndexLink"/>
                <w:rFonts w:cs="Times New Roman" w:ascii="Calibri" w:hAnsi="Calibri"/>
                <w:b w:val="false"/>
                <w:bCs w:val="false"/>
                <w:sz w:val="22"/>
                <w:szCs w:val="22"/>
                <w:lang w:val="en-US"/>
              </w:rPr>
              <w:tab/>
            </w:r>
            <w:r>
              <w:rPr>
                <w:rStyle w:val="IndexLink"/>
                <w:b w:val="false"/>
              </w:rPr>
              <w:t>Extension of Tender Validity and Tender Security</w:t>
            </w:r>
            <w:r>
              <w:rPr>
                <w:webHidden/>
              </w:rPr>
              <w:fldChar w:fldCharType="begin"/>
            </w:r>
            <w:r>
              <w:rPr>
                <w:webHidden/>
              </w:rPr>
              <w:instrText>PAGEREF _Toc421454221 \h</w:instrText>
            </w:r>
            <w:r>
              <w:rPr>
                <w:webHidden/>
              </w:rPr>
              <w:fldChar w:fldCharType="separate"/>
            </w:r>
            <w:r>
              <w:rPr>
                <w:rStyle w:val="IndexLink"/>
                <w:b w:val="false"/>
                <w:vanish w:val="false"/>
              </w:rPr>
              <w:tab/>
              <w:t>13</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22">
            <w:r>
              <w:rPr>
                <w:webHidden/>
                <w:rStyle w:val="IndexLink"/>
                <w:b w:val="false"/>
                <w:vanish w:val="false"/>
              </w:rPr>
              <w:t>31.</w:t>
            </w:r>
            <w:r>
              <w:rPr>
                <w:rStyle w:val="IndexLink"/>
                <w:rFonts w:cs="Times New Roman" w:ascii="Calibri" w:hAnsi="Calibri"/>
                <w:b w:val="false"/>
                <w:bCs w:val="false"/>
                <w:sz w:val="22"/>
                <w:szCs w:val="22"/>
                <w:lang w:val="en-US"/>
              </w:rPr>
              <w:tab/>
            </w:r>
            <w:r>
              <w:rPr>
                <w:rStyle w:val="IndexLink"/>
                <w:b w:val="false"/>
              </w:rPr>
              <w:t>Tender Security</w:t>
            </w:r>
            <w:r>
              <w:rPr>
                <w:webHidden/>
              </w:rPr>
              <w:fldChar w:fldCharType="begin"/>
            </w:r>
            <w:r>
              <w:rPr>
                <w:webHidden/>
              </w:rPr>
              <w:instrText>PAGEREF _Toc421454222 \h</w:instrText>
            </w:r>
            <w:r>
              <w:rPr>
                <w:webHidden/>
              </w:rPr>
              <w:fldChar w:fldCharType="separate"/>
            </w:r>
            <w:r>
              <w:rPr>
                <w:rStyle w:val="IndexLink"/>
                <w:b w:val="false"/>
                <w:vanish w:val="false"/>
              </w:rPr>
              <w:tab/>
              <w:t>13</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23">
            <w:r>
              <w:rPr>
                <w:webHidden/>
                <w:rStyle w:val="IndexLink"/>
                <w:b w:val="false"/>
                <w:vanish w:val="false"/>
              </w:rPr>
              <w:t>32.</w:t>
            </w:r>
            <w:r>
              <w:rPr>
                <w:rStyle w:val="IndexLink"/>
                <w:rFonts w:cs="Times New Roman" w:ascii="Calibri" w:hAnsi="Calibri"/>
                <w:b w:val="false"/>
                <w:bCs w:val="false"/>
                <w:sz w:val="22"/>
                <w:szCs w:val="22"/>
                <w:lang w:val="en-US"/>
              </w:rPr>
              <w:tab/>
            </w:r>
            <w:r>
              <w:rPr>
                <w:rStyle w:val="IndexLink"/>
                <w:b w:val="false"/>
              </w:rPr>
              <w:t>Form  of  Tender security</w:t>
            </w:r>
            <w:r>
              <w:rPr>
                <w:webHidden/>
              </w:rPr>
              <w:fldChar w:fldCharType="begin"/>
            </w:r>
            <w:r>
              <w:rPr>
                <w:webHidden/>
              </w:rPr>
              <w:instrText>PAGEREF _Toc421454223 \h</w:instrText>
            </w:r>
            <w:r>
              <w:rPr>
                <w:webHidden/>
              </w:rPr>
              <w:fldChar w:fldCharType="separate"/>
            </w:r>
            <w:r>
              <w:rPr>
                <w:rStyle w:val="IndexLink"/>
                <w:b w:val="false"/>
                <w:vanish w:val="false"/>
              </w:rPr>
              <w:tab/>
              <w:t>13</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24">
            <w:r>
              <w:rPr>
                <w:webHidden/>
                <w:rStyle w:val="IndexLink"/>
                <w:b w:val="false"/>
                <w:vanish w:val="false"/>
              </w:rPr>
              <w:t>33.</w:t>
            </w:r>
            <w:r>
              <w:rPr>
                <w:rStyle w:val="IndexLink"/>
                <w:rFonts w:cs="Times New Roman" w:ascii="Calibri" w:hAnsi="Calibri"/>
                <w:b w:val="false"/>
                <w:bCs w:val="false"/>
                <w:sz w:val="22"/>
                <w:szCs w:val="22"/>
                <w:lang w:val="en-US"/>
              </w:rPr>
              <w:tab/>
            </w:r>
            <w:r>
              <w:rPr>
                <w:rStyle w:val="IndexLink"/>
                <w:b w:val="false"/>
              </w:rPr>
              <w:t>Authenticity of Tender Security</w:t>
            </w:r>
            <w:r>
              <w:rPr>
                <w:webHidden/>
              </w:rPr>
              <w:fldChar w:fldCharType="begin"/>
            </w:r>
            <w:r>
              <w:rPr>
                <w:webHidden/>
              </w:rPr>
              <w:instrText>PAGEREF _Toc421454224 \h</w:instrText>
            </w:r>
            <w:r>
              <w:rPr>
                <w:webHidden/>
              </w:rPr>
              <w:fldChar w:fldCharType="separate"/>
            </w:r>
            <w:r>
              <w:rPr>
                <w:rStyle w:val="IndexLink"/>
                <w:b w:val="false"/>
                <w:vanish w:val="false"/>
              </w:rPr>
              <w:tab/>
              <w:t>14</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25">
            <w:r>
              <w:rPr>
                <w:webHidden/>
                <w:rStyle w:val="IndexLink"/>
                <w:b w:val="false"/>
                <w:vanish w:val="false"/>
              </w:rPr>
              <w:t>34.</w:t>
            </w:r>
            <w:r>
              <w:rPr>
                <w:rStyle w:val="IndexLink"/>
                <w:rFonts w:cs="Times New Roman" w:ascii="Calibri" w:hAnsi="Calibri"/>
                <w:b w:val="false"/>
                <w:bCs w:val="false"/>
                <w:sz w:val="22"/>
                <w:szCs w:val="22"/>
                <w:lang w:val="en-US"/>
              </w:rPr>
              <w:tab/>
            </w:r>
            <w:r>
              <w:rPr>
                <w:rStyle w:val="IndexLink"/>
                <w:b w:val="false"/>
              </w:rPr>
              <w:t>Return of Tender Security</w:t>
            </w:r>
            <w:r>
              <w:rPr>
                <w:webHidden/>
              </w:rPr>
              <w:fldChar w:fldCharType="begin"/>
            </w:r>
            <w:r>
              <w:rPr>
                <w:webHidden/>
              </w:rPr>
              <w:instrText>PAGEREF _Toc421454225 \h</w:instrText>
            </w:r>
            <w:r>
              <w:rPr>
                <w:webHidden/>
              </w:rPr>
              <w:fldChar w:fldCharType="separate"/>
            </w:r>
            <w:r>
              <w:rPr>
                <w:rStyle w:val="IndexLink"/>
                <w:b w:val="false"/>
                <w:vanish w:val="false"/>
              </w:rPr>
              <w:tab/>
              <w:t>14</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26">
            <w:r>
              <w:rPr>
                <w:webHidden/>
                <w:rStyle w:val="IndexLink"/>
                <w:b w:val="false"/>
                <w:vanish w:val="false"/>
              </w:rPr>
              <w:t>35.</w:t>
            </w:r>
            <w:r>
              <w:rPr>
                <w:rStyle w:val="IndexLink"/>
                <w:rFonts w:cs="Times New Roman" w:ascii="Calibri" w:hAnsi="Calibri"/>
                <w:b w:val="false"/>
                <w:bCs w:val="false"/>
                <w:sz w:val="22"/>
                <w:szCs w:val="22"/>
                <w:lang w:val="en-US"/>
              </w:rPr>
              <w:tab/>
            </w:r>
            <w:r>
              <w:rPr>
                <w:rStyle w:val="IndexLink"/>
                <w:b w:val="false"/>
              </w:rPr>
              <w:t>Forfeiture of Tender Security</w:t>
            </w:r>
            <w:r>
              <w:rPr>
                <w:webHidden/>
              </w:rPr>
              <w:fldChar w:fldCharType="begin"/>
            </w:r>
            <w:r>
              <w:rPr>
                <w:webHidden/>
              </w:rPr>
              <w:instrText>PAGEREF _Toc421454226 \h</w:instrText>
            </w:r>
            <w:r>
              <w:rPr>
                <w:webHidden/>
              </w:rPr>
              <w:fldChar w:fldCharType="separate"/>
            </w:r>
            <w:r>
              <w:rPr>
                <w:rStyle w:val="IndexLink"/>
                <w:b w:val="false"/>
                <w:vanish w:val="false"/>
              </w:rPr>
              <w:tab/>
              <w:t>14</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27">
            <w:r>
              <w:rPr>
                <w:webHidden/>
                <w:rStyle w:val="IndexLink"/>
                <w:b w:val="false"/>
                <w:vanish w:val="false"/>
              </w:rPr>
              <w:t>36.</w:t>
            </w:r>
            <w:r>
              <w:rPr>
                <w:rStyle w:val="IndexLink"/>
                <w:rFonts w:cs="Times New Roman" w:ascii="Calibri" w:hAnsi="Calibri"/>
                <w:b w:val="false"/>
                <w:bCs w:val="false"/>
                <w:sz w:val="22"/>
                <w:szCs w:val="22"/>
                <w:lang w:val="en-US"/>
              </w:rPr>
              <w:tab/>
            </w:r>
            <w:r>
              <w:rPr>
                <w:rStyle w:val="IndexLink"/>
                <w:b w:val="false"/>
              </w:rPr>
              <w:t>Format and Signing of Tender</w:t>
            </w:r>
            <w:r>
              <w:rPr>
                <w:webHidden/>
              </w:rPr>
              <w:fldChar w:fldCharType="begin"/>
            </w:r>
            <w:r>
              <w:rPr>
                <w:webHidden/>
              </w:rPr>
              <w:instrText>PAGEREF _Toc421454227 \h</w:instrText>
            </w:r>
            <w:r>
              <w:rPr>
                <w:webHidden/>
              </w:rPr>
              <w:fldChar w:fldCharType="separate"/>
            </w:r>
            <w:r>
              <w:rPr>
                <w:rStyle w:val="IndexLink"/>
                <w:b w:val="false"/>
                <w:vanish w:val="false"/>
              </w:rPr>
              <w:tab/>
              <w:t>14</w:t>
            </w:r>
            <w:r>
              <w:rPr>
                <w:webHidden/>
              </w:rPr>
              <w:fldChar w:fldCharType="end"/>
            </w:r>
          </w:hyperlink>
        </w:p>
        <w:p>
          <w:pPr>
            <w:pStyle w:val="Contents2"/>
            <w:rPr/>
          </w:pPr>
          <w:hyperlink w:anchor="_Toc421454228">
            <w:r>
              <w:rPr>
                <w:webHidden/>
              </w:rPr>
              <w:fldChar w:fldCharType="begin"/>
            </w:r>
            <w:r>
              <w:rPr>
                <w:webHidden/>
              </w:rPr>
              <w:instrText>PAGEREF _Toc421454228 \h</w:instrText>
            </w:r>
            <w:r>
              <w:rPr>
                <w:webHidden/>
              </w:rPr>
              <w:fldChar w:fldCharType="separate"/>
            </w:r>
            <w:r>
              <w:rPr>
                <w:webHidden/>
                <w:rStyle w:val="IndexLink"/>
                <w:vanish w:val="false"/>
              </w:rPr>
              <w:t>E.</w:t>
              <w:tab/>
              <w:t>Tender Submission</w:t>
              <w:tab/>
              <w:t>15</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29">
            <w:r>
              <w:rPr>
                <w:webHidden/>
                <w:rStyle w:val="IndexLink"/>
                <w:b w:val="false"/>
                <w:vanish w:val="false"/>
                <w:lang w:val="en-GB"/>
              </w:rPr>
              <w:t>37.</w:t>
            </w:r>
            <w:r>
              <w:rPr>
                <w:rStyle w:val="IndexLink"/>
                <w:rFonts w:cs="Times New Roman" w:ascii="Calibri" w:hAnsi="Calibri"/>
                <w:b w:val="false"/>
                <w:bCs w:val="false"/>
                <w:sz w:val="22"/>
                <w:szCs w:val="22"/>
                <w:lang w:val="en-US"/>
              </w:rPr>
              <w:tab/>
            </w:r>
            <w:r>
              <w:rPr>
                <w:rStyle w:val="IndexLink"/>
                <w:b w:val="false"/>
              </w:rPr>
              <w:t>Sealing, Marking and Submission of Tender</w:t>
            </w:r>
            <w:r>
              <w:rPr>
                <w:webHidden/>
              </w:rPr>
              <w:fldChar w:fldCharType="begin"/>
            </w:r>
            <w:r>
              <w:rPr>
                <w:webHidden/>
              </w:rPr>
              <w:instrText>PAGEREF _Toc421454229 \h</w:instrText>
            </w:r>
            <w:r>
              <w:rPr>
                <w:webHidden/>
              </w:rPr>
              <w:fldChar w:fldCharType="separate"/>
            </w:r>
            <w:r>
              <w:rPr>
                <w:rStyle w:val="IndexLink"/>
                <w:b w:val="false"/>
                <w:vanish w:val="false"/>
              </w:rPr>
              <w:tab/>
              <w:t>15</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30">
            <w:r>
              <w:rPr>
                <w:webHidden/>
                <w:rStyle w:val="IndexLink"/>
                <w:b w:val="false"/>
                <w:vanish w:val="false"/>
              </w:rPr>
              <w:t>38.</w:t>
            </w:r>
            <w:r>
              <w:rPr>
                <w:rStyle w:val="IndexLink"/>
                <w:rFonts w:cs="Times New Roman" w:ascii="Calibri" w:hAnsi="Calibri"/>
                <w:b w:val="false"/>
                <w:bCs w:val="false"/>
                <w:sz w:val="22"/>
                <w:szCs w:val="22"/>
                <w:lang w:val="en-US"/>
              </w:rPr>
              <w:tab/>
            </w:r>
            <w:r>
              <w:rPr>
                <w:rStyle w:val="IndexLink"/>
                <w:b w:val="false"/>
              </w:rPr>
              <w:t>Deadline for Submission of Tenders</w:t>
            </w:r>
            <w:r>
              <w:rPr>
                <w:webHidden/>
              </w:rPr>
              <w:fldChar w:fldCharType="begin"/>
            </w:r>
            <w:r>
              <w:rPr>
                <w:webHidden/>
              </w:rPr>
              <w:instrText>PAGEREF _Toc421454230 \h</w:instrText>
            </w:r>
            <w:r>
              <w:rPr>
                <w:webHidden/>
              </w:rPr>
              <w:fldChar w:fldCharType="separate"/>
            </w:r>
            <w:r>
              <w:rPr>
                <w:rStyle w:val="IndexLink"/>
                <w:b w:val="false"/>
                <w:vanish w:val="false"/>
              </w:rPr>
              <w:tab/>
              <w:t>15</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31">
            <w:r>
              <w:rPr>
                <w:webHidden/>
                <w:rStyle w:val="IndexLink"/>
                <w:b w:val="false"/>
                <w:vanish w:val="false"/>
              </w:rPr>
              <w:t>39.</w:t>
            </w:r>
            <w:r>
              <w:rPr>
                <w:rStyle w:val="IndexLink"/>
                <w:rFonts w:cs="Times New Roman" w:ascii="Calibri" w:hAnsi="Calibri"/>
                <w:b w:val="false"/>
                <w:bCs w:val="false"/>
                <w:sz w:val="22"/>
                <w:szCs w:val="22"/>
                <w:lang w:val="en-US"/>
              </w:rPr>
              <w:tab/>
            </w:r>
            <w:r>
              <w:rPr>
                <w:rStyle w:val="IndexLink"/>
                <w:b w:val="false"/>
              </w:rPr>
              <w:t>Late Tender</w:t>
            </w:r>
            <w:r>
              <w:rPr>
                <w:webHidden/>
              </w:rPr>
              <w:fldChar w:fldCharType="begin"/>
            </w:r>
            <w:r>
              <w:rPr>
                <w:webHidden/>
              </w:rPr>
              <w:instrText>PAGEREF _Toc421454231 \h</w:instrText>
            </w:r>
            <w:r>
              <w:rPr>
                <w:webHidden/>
              </w:rPr>
              <w:fldChar w:fldCharType="separate"/>
            </w:r>
            <w:r>
              <w:rPr>
                <w:rStyle w:val="IndexLink"/>
                <w:b w:val="false"/>
                <w:vanish w:val="false"/>
              </w:rPr>
              <w:tab/>
              <w:t>16</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32">
            <w:r>
              <w:rPr>
                <w:webHidden/>
                <w:rStyle w:val="IndexLink"/>
                <w:b w:val="false"/>
                <w:vanish w:val="false"/>
              </w:rPr>
              <w:t>40.</w:t>
            </w:r>
            <w:r>
              <w:rPr>
                <w:rStyle w:val="IndexLink"/>
                <w:rFonts w:cs="Times New Roman" w:ascii="Calibri" w:hAnsi="Calibri"/>
                <w:b w:val="false"/>
                <w:bCs w:val="false"/>
                <w:sz w:val="22"/>
                <w:szCs w:val="22"/>
                <w:lang w:val="en-US"/>
              </w:rPr>
              <w:tab/>
            </w:r>
            <w:r>
              <w:rPr>
                <w:rStyle w:val="IndexLink"/>
                <w:b w:val="false"/>
              </w:rPr>
              <w:t>Modification, Substitution or  Withdrawal of Tenders</w:t>
            </w:r>
            <w:r>
              <w:rPr>
                <w:webHidden/>
              </w:rPr>
              <w:fldChar w:fldCharType="begin"/>
            </w:r>
            <w:r>
              <w:rPr>
                <w:webHidden/>
              </w:rPr>
              <w:instrText>PAGEREF _Toc421454232 \h</w:instrText>
            </w:r>
            <w:r>
              <w:rPr>
                <w:webHidden/>
              </w:rPr>
              <w:fldChar w:fldCharType="separate"/>
            </w:r>
            <w:r>
              <w:rPr>
                <w:rStyle w:val="IndexLink"/>
                <w:b w:val="false"/>
                <w:vanish w:val="false"/>
              </w:rPr>
              <w:tab/>
              <w:t>16</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33">
            <w:r>
              <w:rPr>
                <w:webHidden/>
                <w:rStyle w:val="IndexLink"/>
                <w:b w:val="false"/>
                <w:vanish w:val="false"/>
              </w:rPr>
              <w:t>41.</w:t>
            </w:r>
            <w:r>
              <w:rPr>
                <w:rStyle w:val="IndexLink"/>
                <w:rFonts w:cs="Times New Roman" w:ascii="Calibri" w:hAnsi="Calibri"/>
                <w:b w:val="false"/>
                <w:bCs w:val="false"/>
                <w:sz w:val="22"/>
                <w:szCs w:val="22"/>
                <w:lang w:val="en-US"/>
              </w:rPr>
              <w:tab/>
            </w:r>
            <w:r>
              <w:rPr>
                <w:rStyle w:val="IndexLink"/>
                <w:b w:val="false"/>
              </w:rPr>
              <w:t>Tender Modification</w:t>
            </w:r>
            <w:r>
              <w:rPr>
                <w:webHidden/>
              </w:rPr>
              <w:fldChar w:fldCharType="begin"/>
            </w:r>
            <w:r>
              <w:rPr>
                <w:webHidden/>
              </w:rPr>
              <w:instrText>PAGEREF _Toc421454233 \h</w:instrText>
            </w:r>
            <w:r>
              <w:rPr>
                <w:webHidden/>
              </w:rPr>
              <w:fldChar w:fldCharType="separate"/>
            </w:r>
            <w:r>
              <w:rPr>
                <w:rStyle w:val="IndexLink"/>
                <w:b w:val="false"/>
                <w:vanish w:val="false"/>
              </w:rPr>
              <w:tab/>
              <w:t>16</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34">
            <w:r>
              <w:rPr>
                <w:webHidden/>
                <w:rStyle w:val="IndexLink"/>
                <w:b w:val="false"/>
                <w:vanish w:val="false"/>
              </w:rPr>
              <w:t>42.</w:t>
            </w:r>
            <w:r>
              <w:rPr>
                <w:rStyle w:val="IndexLink"/>
                <w:rFonts w:cs="Times New Roman" w:ascii="Calibri" w:hAnsi="Calibri"/>
                <w:b w:val="false"/>
                <w:bCs w:val="false"/>
                <w:sz w:val="22"/>
                <w:szCs w:val="22"/>
                <w:lang w:val="en-US"/>
              </w:rPr>
              <w:tab/>
            </w:r>
            <w:r>
              <w:rPr>
                <w:rStyle w:val="IndexLink"/>
                <w:b w:val="false"/>
              </w:rPr>
              <w:t>Tender Substitution</w:t>
            </w:r>
            <w:r>
              <w:rPr>
                <w:webHidden/>
              </w:rPr>
              <w:fldChar w:fldCharType="begin"/>
            </w:r>
            <w:r>
              <w:rPr>
                <w:webHidden/>
              </w:rPr>
              <w:instrText>PAGEREF _Toc421454234 \h</w:instrText>
            </w:r>
            <w:r>
              <w:rPr>
                <w:webHidden/>
              </w:rPr>
              <w:fldChar w:fldCharType="separate"/>
            </w:r>
            <w:r>
              <w:rPr>
                <w:rStyle w:val="IndexLink"/>
                <w:b w:val="false"/>
                <w:vanish w:val="false"/>
              </w:rPr>
              <w:tab/>
              <w:t>16</w:t>
            </w:r>
            <w:r>
              <w:rPr>
                <w:webHidden/>
              </w:rPr>
              <w:fldChar w:fldCharType="end"/>
            </w:r>
          </w:hyperlink>
        </w:p>
        <w:p>
          <w:pPr>
            <w:pStyle w:val="Contents3"/>
            <w:rPr>
              <w:b w:val="false"/>
              <w:b w:val="false"/>
            </w:rPr>
          </w:pPr>
          <w:hyperlink w:anchor="_Toc421454235">
            <w:r>
              <w:rPr>
                <w:webHidden/>
                <w:rStyle w:val="IndexLink"/>
                <w:b w:val="false"/>
                <w:vanish w:val="false"/>
              </w:rPr>
              <w:t>43.</w:t>
            </w:r>
            <w:r>
              <w:rPr>
                <w:rStyle w:val="IndexLink"/>
                <w:rFonts w:cs="Times New Roman" w:ascii="Calibri" w:hAnsi="Calibri"/>
                <w:b w:val="false"/>
                <w:bCs w:val="false"/>
                <w:sz w:val="22"/>
                <w:szCs w:val="22"/>
                <w:lang w:val="en-US"/>
              </w:rPr>
              <w:tab/>
            </w:r>
            <w:r>
              <w:rPr>
                <w:rStyle w:val="IndexLink"/>
                <w:b w:val="false"/>
              </w:rPr>
              <w:t>Withdrawal of Tender</w:t>
            </w:r>
            <w:r>
              <w:rPr>
                <w:webHidden/>
              </w:rPr>
              <w:fldChar w:fldCharType="begin"/>
            </w:r>
            <w:r>
              <w:rPr>
                <w:webHidden/>
              </w:rPr>
              <w:instrText>PAGEREF _Toc421454235 \h</w:instrText>
            </w:r>
            <w:r>
              <w:rPr>
                <w:webHidden/>
              </w:rPr>
              <w:fldChar w:fldCharType="separate"/>
            </w:r>
            <w:r>
              <w:rPr>
                <w:rStyle w:val="IndexLink"/>
                <w:b w:val="false"/>
                <w:vanish w:val="false"/>
              </w:rPr>
              <w:tab/>
              <w:t>16</w:t>
            </w:r>
            <w:r>
              <w:rPr>
                <w:webHidden/>
              </w:rPr>
              <w:fldChar w:fldCharType="end"/>
            </w:r>
          </w:hyperlink>
        </w:p>
        <w:p>
          <w:pPr>
            <w:pStyle w:val="Normal"/>
            <w:rPr>
              <w:lang w:val="fr-FR" w:eastAsia="en-US"/>
            </w:rPr>
          </w:pPr>
          <w:r>
            <w:rPr>
              <w:lang w:val="fr-FR" w:eastAsia="en-US"/>
            </w:rPr>
          </w:r>
        </w:p>
        <w:p>
          <w:pPr>
            <w:pStyle w:val="Contents1"/>
            <w:rPr>
              <w:rFonts w:ascii="Calibri" w:hAnsi="Calibri" w:cs="Times New Roman"/>
              <w:szCs w:val="22"/>
              <w:lang w:val="en-US"/>
            </w:rPr>
          </w:pPr>
          <w:hyperlink w:anchor="_Toc421454236">
            <w:r>
              <w:rPr>
                <w:webHidden/>
              </w:rPr>
              <w:fldChar w:fldCharType="begin"/>
            </w:r>
            <w:r>
              <w:rPr>
                <w:webHidden/>
              </w:rPr>
              <w:instrText>PAGEREF _Toc421454236 \h</w:instrText>
            </w:r>
            <w:r>
              <w:rPr>
                <w:webHidden/>
              </w:rPr>
              <w:fldChar w:fldCharType="separate"/>
            </w:r>
            <w:r>
              <w:rPr>
                <w:webHidden/>
                <w:rStyle w:val="IndexLink"/>
                <w:vanish w:val="false"/>
              </w:rPr>
              <w:t>F.</w:t>
              <w:tab/>
              <w:t>Tender Opening and Evaluation</w:t>
              <w:tab/>
              <w:t>16</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37">
            <w:r>
              <w:rPr>
                <w:webHidden/>
                <w:rStyle w:val="IndexLink"/>
                <w:b w:val="false"/>
                <w:vanish w:val="false"/>
              </w:rPr>
              <w:t>44.</w:t>
            </w:r>
            <w:r>
              <w:rPr>
                <w:rStyle w:val="IndexLink"/>
                <w:rFonts w:cs="Times New Roman" w:ascii="Calibri" w:hAnsi="Calibri"/>
                <w:b w:val="false"/>
                <w:bCs w:val="false"/>
                <w:sz w:val="22"/>
                <w:szCs w:val="22"/>
                <w:lang w:val="en-US"/>
              </w:rPr>
              <w:tab/>
            </w:r>
            <w:r>
              <w:rPr>
                <w:rStyle w:val="IndexLink"/>
                <w:b w:val="false"/>
              </w:rPr>
              <w:t>Tender Opening</w:t>
            </w:r>
            <w:r>
              <w:rPr>
                <w:webHidden/>
              </w:rPr>
              <w:fldChar w:fldCharType="begin"/>
            </w:r>
            <w:r>
              <w:rPr>
                <w:webHidden/>
              </w:rPr>
              <w:instrText>PAGEREF _Toc421454237 \h</w:instrText>
            </w:r>
            <w:r>
              <w:rPr>
                <w:webHidden/>
              </w:rPr>
              <w:fldChar w:fldCharType="separate"/>
            </w:r>
            <w:r>
              <w:rPr>
                <w:rStyle w:val="IndexLink"/>
                <w:b w:val="false"/>
                <w:vanish w:val="false"/>
              </w:rPr>
              <w:tab/>
              <w:t>16</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39">
            <w:r>
              <w:rPr>
                <w:webHidden/>
                <w:rStyle w:val="IndexLink"/>
                <w:b w:val="false"/>
                <w:vanish w:val="false"/>
              </w:rPr>
              <w:t>45.</w:t>
            </w:r>
            <w:r>
              <w:rPr>
                <w:rStyle w:val="IndexLink"/>
                <w:rFonts w:cs="Times New Roman" w:ascii="Calibri" w:hAnsi="Calibri"/>
                <w:b w:val="false"/>
                <w:bCs w:val="false"/>
                <w:sz w:val="22"/>
                <w:szCs w:val="22"/>
                <w:lang w:val="en-US"/>
              </w:rPr>
              <w:tab/>
            </w:r>
            <w:r>
              <w:rPr>
                <w:rStyle w:val="IndexLink"/>
                <w:b w:val="false"/>
              </w:rPr>
              <w:t>Evaluation of Tenders</w:t>
            </w:r>
            <w:r>
              <w:rPr>
                <w:webHidden/>
              </w:rPr>
              <w:fldChar w:fldCharType="begin"/>
            </w:r>
            <w:r>
              <w:rPr>
                <w:webHidden/>
              </w:rPr>
              <w:instrText>PAGEREF _Toc421454239 \h</w:instrText>
            </w:r>
            <w:r>
              <w:rPr>
                <w:webHidden/>
              </w:rPr>
              <w:fldChar w:fldCharType="separate"/>
            </w:r>
            <w:r>
              <w:rPr>
                <w:rStyle w:val="IndexLink"/>
                <w:b w:val="false"/>
                <w:vanish w:val="false"/>
              </w:rPr>
              <w:tab/>
              <w:t>17</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40">
            <w:r>
              <w:rPr>
                <w:webHidden/>
                <w:rStyle w:val="IndexLink"/>
                <w:b w:val="false"/>
                <w:vanish w:val="false"/>
              </w:rPr>
              <w:t>46.</w:t>
            </w:r>
            <w:r>
              <w:rPr>
                <w:rStyle w:val="IndexLink"/>
                <w:rFonts w:cs="Times New Roman" w:ascii="Calibri" w:hAnsi="Calibri"/>
                <w:b w:val="false"/>
                <w:bCs w:val="false"/>
                <w:sz w:val="22"/>
                <w:szCs w:val="22"/>
                <w:lang w:val="en-US"/>
              </w:rPr>
              <w:tab/>
            </w:r>
            <w:r>
              <w:rPr>
                <w:rStyle w:val="IndexLink"/>
                <w:b w:val="false"/>
              </w:rPr>
              <w:t>Evaluation process</w:t>
            </w:r>
            <w:r>
              <w:rPr>
                <w:webHidden/>
              </w:rPr>
              <w:fldChar w:fldCharType="begin"/>
            </w:r>
            <w:r>
              <w:rPr>
                <w:webHidden/>
              </w:rPr>
              <w:instrText>PAGEREF _Toc421454240 \h</w:instrText>
            </w:r>
            <w:r>
              <w:rPr>
                <w:webHidden/>
              </w:rPr>
              <w:fldChar w:fldCharType="separate"/>
            </w:r>
            <w:r>
              <w:rPr>
                <w:rStyle w:val="IndexLink"/>
                <w:b w:val="false"/>
                <w:vanish w:val="false"/>
              </w:rPr>
              <w:tab/>
              <w:t>18</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41">
            <w:r>
              <w:rPr>
                <w:webHidden/>
                <w:rStyle w:val="IndexLink"/>
                <w:b w:val="false"/>
                <w:vanish w:val="false"/>
              </w:rPr>
              <w:t>47.</w:t>
            </w:r>
            <w:r>
              <w:rPr>
                <w:rStyle w:val="IndexLink"/>
                <w:rFonts w:cs="Times New Roman" w:ascii="Calibri" w:hAnsi="Calibri"/>
                <w:b w:val="false"/>
                <w:bCs w:val="false"/>
                <w:sz w:val="22"/>
                <w:szCs w:val="22"/>
                <w:lang w:val="en-US"/>
              </w:rPr>
              <w:tab/>
            </w:r>
            <w:r>
              <w:rPr>
                <w:rStyle w:val="IndexLink"/>
                <w:b w:val="false"/>
              </w:rPr>
              <w:t>Preliminary Examination</w:t>
            </w:r>
            <w:r>
              <w:rPr>
                <w:webHidden/>
              </w:rPr>
              <w:fldChar w:fldCharType="begin"/>
            </w:r>
            <w:r>
              <w:rPr>
                <w:webHidden/>
              </w:rPr>
              <w:instrText>PAGEREF _Toc421454241 \h</w:instrText>
            </w:r>
            <w:r>
              <w:rPr>
                <w:webHidden/>
              </w:rPr>
              <w:fldChar w:fldCharType="separate"/>
            </w:r>
            <w:r>
              <w:rPr>
                <w:rStyle w:val="IndexLink"/>
                <w:b w:val="false"/>
                <w:vanish w:val="false"/>
              </w:rPr>
              <w:tab/>
              <w:t>18</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42">
            <w:r>
              <w:rPr>
                <w:webHidden/>
                <w:rStyle w:val="IndexLink"/>
                <w:b w:val="false"/>
                <w:vanish w:val="false"/>
              </w:rPr>
              <w:t>48.</w:t>
            </w:r>
            <w:r>
              <w:rPr>
                <w:rStyle w:val="IndexLink"/>
                <w:rFonts w:cs="Times New Roman" w:ascii="Calibri" w:hAnsi="Calibri"/>
                <w:b w:val="false"/>
                <w:bCs w:val="false"/>
                <w:sz w:val="22"/>
                <w:szCs w:val="22"/>
                <w:lang w:val="en-US"/>
              </w:rPr>
              <w:tab/>
            </w:r>
            <w:r>
              <w:rPr>
                <w:rStyle w:val="IndexLink"/>
                <w:b w:val="false"/>
              </w:rPr>
              <w:t>Technical Examinations and Responsiveness</w:t>
            </w:r>
            <w:r>
              <w:rPr>
                <w:webHidden/>
              </w:rPr>
              <w:fldChar w:fldCharType="begin"/>
            </w:r>
            <w:r>
              <w:rPr>
                <w:webHidden/>
              </w:rPr>
              <w:instrText>PAGEREF _Toc421454242 \h</w:instrText>
            </w:r>
            <w:r>
              <w:rPr>
                <w:webHidden/>
              </w:rPr>
              <w:fldChar w:fldCharType="separate"/>
            </w:r>
            <w:r>
              <w:rPr>
                <w:rStyle w:val="IndexLink"/>
                <w:b w:val="false"/>
                <w:vanish w:val="false"/>
              </w:rPr>
              <w:tab/>
              <w:t>18</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43">
            <w:r>
              <w:rPr>
                <w:webHidden/>
                <w:rStyle w:val="IndexLink"/>
                <w:b w:val="false"/>
                <w:vanish w:val="false"/>
              </w:rPr>
              <w:t>49.</w:t>
            </w:r>
            <w:r>
              <w:rPr>
                <w:rStyle w:val="IndexLink"/>
                <w:rFonts w:cs="Times New Roman" w:ascii="Calibri" w:hAnsi="Calibri"/>
                <w:b w:val="false"/>
                <w:bCs w:val="false"/>
                <w:sz w:val="22"/>
                <w:szCs w:val="22"/>
                <w:lang w:val="en-US"/>
              </w:rPr>
              <w:tab/>
            </w:r>
            <w:r>
              <w:rPr>
                <w:rStyle w:val="IndexLink"/>
                <w:b w:val="false"/>
              </w:rPr>
              <w:t>Clarification on Tender</w:t>
            </w:r>
            <w:r>
              <w:rPr>
                <w:webHidden/>
              </w:rPr>
              <w:fldChar w:fldCharType="begin"/>
            </w:r>
            <w:r>
              <w:rPr>
                <w:webHidden/>
              </w:rPr>
              <w:instrText>PAGEREF _Toc421454243 \h</w:instrText>
            </w:r>
            <w:r>
              <w:rPr>
                <w:webHidden/>
              </w:rPr>
              <w:fldChar w:fldCharType="separate"/>
            </w:r>
            <w:r>
              <w:rPr>
                <w:rStyle w:val="IndexLink"/>
                <w:b w:val="false"/>
                <w:vanish w:val="false"/>
              </w:rPr>
              <w:tab/>
              <w:t>19</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44">
            <w:r>
              <w:rPr>
                <w:webHidden/>
                <w:rStyle w:val="IndexLink"/>
                <w:b w:val="false"/>
                <w:vanish w:val="false"/>
              </w:rPr>
              <w:t>50.</w:t>
            </w:r>
            <w:r>
              <w:rPr>
                <w:rStyle w:val="IndexLink"/>
                <w:rFonts w:cs="Times New Roman" w:ascii="Calibri" w:hAnsi="Calibri"/>
                <w:b w:val="false"/>
                <w:bCs w:val="false"/>
                <w:sz w:val="22"/>
                <w:szCs w:val="22"/>
                <w:lang w:val="en-US"/>
              </w:rPr>
              <w:tab/>
            </w:r>
            <w:r>
              <w:rPr>
                <w:rStyle w:val="IndexLink"/>
                <w:b w:val="false"/>
              </w:rPr>
              <w:t>Restrictions on the Disclosure of Information</w:t>
            </w:r>
            <w:r>
              <w:rPr>
                <w:webHidden/>
              </w:rPr>
              <w:fldChar w:fldCharType="begin"/>
            </w:r>
            <w:r>
              <w:rPr>
                <w:webHidden/>
              </w:rPr>
              <w:instrText>PAGEREF _Toc421454244 \h</w:instrText>
            </w:r>
            <w:r>
              <w:rPr>
                <w:webHidden/>
              </w:rPr>
              <w:fldChar w:fldCharType="separate"/>
            </w:r>
            <w:r>
              <w:rPr>
                <w:rStyle w:val="IndexLink"/>
                <w:b w:val="false"/>
                <w:vanish w:val="false"/>
              </w:rPr>
              <w:tab/>
              <w:t>20</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45">
            <w:r>
              <w:rPr>
                <w:webHidden/>
                <w:rStyle w:val="IndexLink"/>
                <w:b w:val="false"/>
                <w:vanish w:val="false"/>
              </w:rPr>
              <w:t>51.</w:t>
            </w:r>
            <w:r>
              <w:rPr>
                <w:rStyle w:val="IndexLink"/>
                <w:rFonts w:cs="Times New Roman" w:ascii="Calibri" w:hAnsi="Calibri"/>
                <w:b w:val="false"/>
                <w:bCs w:val="false"/>
                <w:sz w:val="22"/>
                <w:szCs w:val="22"/>
                <w:lang w:val="en-US"/>
              </w:rPr>
              <w:tab/>
            </w:r>
            <w:r>
              <w:rPr>
                <w:rStyle w:val="IndexLink"/>
                <w:b w:val="false"/>
              </w:rPr>
              <w:t>Correction of Arithmetical Errors</w:t>
            </w:r>
            <w:r>
              <w:rPr>
                <w:webHidden/>
              </w:rPr>
              <w:fldChar w:fldCharType="begin"/>
            </w:r>
            <w:r>
              <w:rPr>
                <w:webHidden/>
              </w:rPr>
              <w:instrText>PAGEREF _Toc421454245 \h</w:instrText>
            </w:r>
            <w:r>
              <w:rPr>
                <w:webHidden/>
              </w:rPr>
              <w:fldChar w:fldCharType="separate"/>
            </w:r>
            <w:r>
              <w:rPr>
                <w:rStyle w:val="IndexLink"/>
                <w:b w:val="false"/>
                <w:vanish w:val="false"/>
              </w:rPr>
              <w:tab/>
              <w:t>20</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46">
            <w:r>
              <w:rPr>
                <w:webHidden/>
                <w:rStyle w:val="IndexLink"/>
                <w:b w:val="false"/>
                <w:vanish w:val="false"/>
              </w:rPr>
              <w:t>52.</w:t>
            </w:r>
            <w:r>
              <w:rPr>
                <w:rStyle w:val="IndexLink"/>
                <w:rFonts w:cs="Times New Roman" w:ascii="Calibri" w:hAnsi="Calibri"/>
                <w:b w:val="false"/>
                <w:bCs w:val="false"/>
                <w:sz w:val="22"/>
                <w:szCs w:val="22"/>
                <w:lang w:val="en-US"/>
              </w:rPr>
              <w:tab/>
            </w:r>
            <w:r>
              <w:rPr>
                <w:rStyle w:val="IndexLink"/>
                <w:b w:val="false"/>
              </w:rPr>
              <w:t>Financial Evaluation</w:t>
            </w:r>
            <w:r>
              <w:rPr>
                <w:webHidden/>
              </w:rPr>
              <w:fldChar w:fldCharType="begin"/>
            </w:r>
            <w:r>
              <w:rPr>
                <w:webHidden/>
              </w:rPr>
              <w:instrText>PAGEREF _Toc421454246 \h</w:instrText>
            </w:r>
            <w:r>
              <w:rPr>
                <w:webHidden/>
              </w:rPr>
              <w:fldChar w:fldCharType="separate"/>
            </w:r>
            <w:r>
              <w:rPr>
                <w:rStyle w:val="IndexLink"/>
                <w:b w:val="false"/>
                <w:vanish w:val="false"/>
              </w:rPr>
              <w:tab/>
              <w:t>21</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47">
            <w:r>
              <w:rPr>
                <w:webHidden/>
                <w:rStyle w:val="IndexLink"/>
                <w:b w:val="false"/>
                <w:vanish w:val="false"/>
              </w:rPr>
              <w:t>53.</w:t>
            </w:r>
            <w:r>
              <w:rPr>
                <w:rStyle w:val="IndexLink"/>
                <w:rFonts w:cs="Times New Roman" w:ascii="Calibri" w:hAnsi="Calibri"/>
                <w:b w:val="false"/>
                <w:bCs w:val="false"/>
                <w:sz w:val="22"/>
                <w:szCs w:val="22"/>
                <w:lang w:val="en-US"/>
              </w:rPr>
              <w:tab/>
            </w:r>
            <w:r>
              <w:rPr>
                <w:rStyle w:val="IndexLink"/>
                <w:b w:val="false"/>
              </w:rPr>
              <w:t>Assessing  the Price of unpriced   Items</w:t>
            </w:r>
            <w:r>
              <w:rPr>
                <w:webHidden/>
              </w:rPr>
              <w:fldChar w:fldCharType="begin"/>
            </w:r>
            <w:r>
              <w:rPr>
                <w:webHidden/>
              </w:rPr>
              <w:instrText>PAGEREF _Toc421454247 \h</w:instrText>
            </w:r>
            <w:r>
              <w:rPr>
                <w:webHidden/>
              </w:rPr>
              <w:fldChar w:fldCharType="separate"/>
            </w:r>
            <w:r>
              <w:rPr>
                <w:rStyle w:val="IndexLink"/>
                <w:b w:val="false"/>
                <w:vanish w:val="false"/>
              </w:rPr>
              <w:tab/>
              <w:t>22</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48">
            <w:r>
              <w:rPr>
                <w:webHidden/>
                <w:rStyle w:val="IndexLink"/>
                <w:b w:val="false"/>
                <w:vanish w:val="false"/>
              </w:rPr>
              <w:t>54.</w:t>
            </w:r>
            <w:r>
              <w:rPr>
                <w:rStyle w:val="IndexLink"/>
                <w:rFonts w:cs="Times New Roman" w:ascii="Calibri" w:hAnsi="Calibri"/>
                <w:b w:val="false"/>
                <w:bCs w:val="false"/>
                <w:sz w:val="22"/>
                <w:szCs w:val="22"/>
                <w:lang w:val="en-US"/>
              </w:rPr>
              <w:tab/>
            </w:r>
            <w:r>
              <w:rPr>
                <w:rStyle w:val="IndexLink"/>
                <w:b w:val="false"/>
              </w:rPr>
              <w:t>Price Comparison</w:t>
            </w:r>
            <w:r>
              <w:rPr>
                <w:webHidden/>
              </w:rPr>
              <w:fldChar w:fldCharType="begin"/>
            </w:r>
            <w:r>
              <w:rPr>
                <w:webHidden/>
              </w:rPr>
              <w:instrText>PAGEREF _Toc421454248 \h</w:instrText>
            </w:r>
            <w:r>
              <w:rPr>
                <w:webHidden/>
              </w:rPr>
              <w:fldChar w:fldCharType="separate"/>
            </w:r>
            <w:r>
              <w:rPr>
                <w:rStyle w:val="IndexLink"/>
                <w:b w:val="false"/>
                <w:vanish w:val="false"/>
              </w:rPr>
              <w:tab/>
              <w:t>22</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49">
            <w:r>
              <w:rPr>
                <w:webHidden/>
                <w:rStyle w:val="IndexLink"/>
                <w:b w:val="false"/>
                <w:vanish w:val="false"/>
              </w:rPr>
              <w:t>55.</w:t>
            </w:r>
            <w:r>
              <w:rPr>
                <w:rStyle w:val="IndexLink"/>
                <w:rFonts w:cs="Times New Roman" w:ascii="Calibri" w:hAnsi="Calibri"/>
                <w:b w:val="false"/>
                <w:bCs w:val="false"/>
                <w:sz w:val="22"/>
                <w:szCs w:val="22"/>
                <w:lang w:val="en-US"/>
              </w:rPr>
              <w:tab/>
            </w:r>
            <w:r>
              <w:rPr>
                <w:rStyle w:val="IndexLink"/>
                <w:b w:val="false"/>
              </w:rPr>
              <w:t>Negotiation</w:t>
            </w:r>
            <w:r>
              <w:rPr>
                <w:webHidden/>
              </w:rPr>
              <w:fldChar w:fldCharType="begin"/>
            </w:r>
            <w:r>
              <w:rPr>
                <w:webHidden/>
              </w:rPr>
              <w:instrText>PAGEREF _Toc421454249 \h</w:instrText>
            </w:r>
            <w:r>
              <w:rPr>
                <w:webHidden/>
              </w:rPr>
              <w:fldChar w:fldCharType="separate"/>
            </w:r>
            <w:r>
              <w:rPr>
                <w:rStyle w:val="IndexLink"/>
                <w:b w:val="false"/>
                <w:vanish w:val="false"/>
              </w:rPr>
              <w:tab/>
              <w:t>22</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50">
            <w:r>
              <w:rPr>
                <w:webHidden/>
                <w:rStyle w:val="IndexLink"/>
                <w:b w:val="false"/>
                <w:vanish w:val="false"/>
              </w:rPr>
              <w:t>56.</w:t>
            </w:r>
            <w:r>
              <w:rPr>
                <w:rStyle w:val="IndexLink"/>
                <w:rFonts w:cs="Times New Roman" w:ascii="Calibri" w:hAnsi="Calibri"/>
                <w:b w:val="false"/>
                <w:bCs w:val="false"/>
                <w:sz w:val="22"/>
                <w:szCs w:val="22"/>
                <w:lang w:val="en-US"/>
              </w:rPr>
              <w:tab/>
            </w:r>
            <w:r>
              <w:rPr>
                <w:rStyle w:val="IndexLink"/>
                <w:b w:val="false"/>
              </w:rPr>
              <w:t>Post-qualification</w:t>
            </w:r>
            <w:r>
              <w:rPr>
                <w:webHidden/>
              </w:rPr>
              <w:fldChar w:fldCharType="begin"/>
            </w:r>
            <w:r>
              <w:rPr>
                <w:webHidden/>
              </w:rPr>
              <w:instrText>PAGEREF _Toc421454250 \h</w:instrText>
            </w:r>
            <w:r>
              <w:rPr>
                <w:webHidden/>
              </w:rPr>
              <w:fldChar w:fldCharType="separate"/>
            </w:r>
            <w:r>
              <w:rPr>
                <w:rStyle w:val="IndexLink"/>
                <w:b w:val="false"/>
                <w:vanish w:val="false"/>
              </w:rPr>
              <w:tab/>
              <w:t>22</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51">
            <w:r>
              <w:rPr>
                <w:webHidden/>
                <w:rStyle w:val="IndexLink"/>
                <w:b w:val="false"/>
                <w:vanish w:val="false"/>
              </w:rPr>
              <w:t>57.</w:t>
            </w:r>
            <w:r>
              <w:rPr>
                <w:rStyle w:val="IndexLink"/>
                <w:rFonts w:cs="Times New Roman" w:ascii="Calibri" w:hAnsi="Calibri"/>
                <w:b w:val="false"/>
                <w:bCs w:val="false"/>
                <w:sz w:val="22"/>
                <w:szCs w:val="22"/>
                <w:lang w:val="en-US"/>
              </w:rPr>
              <w:tab/>
            </w:r>
            <w:r>
              <w:rPr>
                <w:rStyle w:val="IndexLink"/>
                <w:b w:val="false"/>
              </w:rPr>
              <w:t>Procuring Entity’s Right to Accept any or to Reject Any or All Tenders</w:t>
            </w:r>
            <w:r>
              <w:rPr>
                <w:webHidden/>
              </w:rPr>
              <w:fldChar w:fldCharType="begin"/>
            </w:r>
            <w:r>
              <w:rPr>
                <w:webHidden/>
              </w:rPr>
              <w:instrText>PAGEREF _Toc421454251 \h</w:instrText>
            </w:r>
            <w:r>
              <w:rPr>
                <w:webHidden/>
              </w:rPr>
              <w:fldChar w:fldCharType="separate"/>
            </w:r>
            <w:r>
              <w:rPr>
                <w:rStyle w:val="IndexLink"/>
                <w:b w:val="false"/>
                <w:vanish w:val="false"/>
              </w:rPr>
              <w:tab/>
              <w:t>23</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52">
            <w:r>
              <w:rPr>
                <w:webHidden/>
                <w:rStyle w:val="IndexLink"/>
                <w:b w:val="false"/>
                <w:vanish w:val="false"/>
              </w:rPr>
              <w:t>58.</w:t>
            </w:r>
            <w:r>
              <w:rPr>
                <w:rStyle w:val="IndexLink"/>
                <w:rFonts w:cs="Times New Roman" w:ascii="Calibri" w:hAnsi="Calibri"/>
                <w:b w:val="false"/>
                <w:bCs w:val="false"/>
                <w:sz w:val="22"/>
                <w:szCs w:val="22"/>
                <w:lang w:val="en-US"/>
              </w:rPr>
              <w:tab/>
            </w:r>
            <w:r>
              <w:rPr>
                <w:rStyle w:val="IndexLink"/>
                <w:b w:val="false"/>
              </w:rPr>
              <w:t>Rejection of All Tenders</w:t>
            </w:r>
            <w:r>
              <w:rPr>
                <w:webHidden/>
              </w:rPr>
              <w:fldChar w:fldCharType="begin"/>
            </w:r>
            <w:r>
              <w:rPr>
                <w:webHidden/>
              </w:rPr>
              <w:instrText>PAGEREF _Toc421454252 \h</w:instrText>
            </w:r>
            <w:r>
              <w:rPr>
                <w:webHidden/>
              </w:rPr>
              <w:fldChar w:fldCharType="separate"/>
            </w:r>
            <w:r>
              <w:rPr>
                <w:rStyle w:val="IndexLink"/>
                <w:b w:val="false"/>
                <w:vanish w:val="false"/>
              </w:rPr>
              <w:tab/>
              <w:t>23</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53">
            <w:r>
              <w:rPr>
                <w:webHidden/>
                <w:rStyle w:val="IndexLink"/>
                <w:b w:val="false"/>
                <w:vanish w:val="false"/>
              </w:rPr>
              <w:t>59.</w:t>
            </w:r>
            <w:r>
              <w:rPr>
                <w:rStyle w:val="IndexLink"/>
                <w:rFonts w:cs="Times New Roman" w:ascii="Calibri" w:hAnsi="Calibri"/>
                <w:b w:val="false"/>
                <w:bCs w:val="false"/>
                <w:sz w:val="22"/>
                <w:szCs w:val="22"/>
                <w:lang w:val="en-US"/>
              </w:rPr>
              <w:tab/>
            </w:r>
            <w:r>
              <w:rPr>
                <w:rStyle w:val="IndexLink"/>
                <w:b w:val="false"/>
              </w:rPr>
              <w:t>Informing Reasons for Rejection</w:t>
            </w:r>
            <w:r>
              <w:rPr>
                <w:webHidden/>
              </w:rPr>
              <w:fldChar w:fldCharType="begin"/>
            </w:r>
            <w:r>
              <w:rPr>
                <w:webHidden/>
              </w:rPr>
              <w:instrText>PAGEREF _Toc421454253 \h</w:instrText>
            </w:r>
            <w:r>
              <w:rPr>
                <w:webHidden/>
              </w:rPr>
              <w:fldChar w:fldCharType="separate"/>
            </w:r>
            <w:r>
              <w:rPr>
                <w:rStyle w:val="IndexLink"/>
                <w:b w:val="false"/>
                <w:vanish w:val="false"/>
              </w:rPr>
              <w:tab/>
              <w:t>23</w:t>
            </w:r>
            <w:r>
              <w:rPr>
                <w:webHidden/>
              </w:rPr>
              <w:fldChar w:fldCharType="end"/>
            </w:r>
          </w:hyperlink>
        </w:p>
        <w:p>
          <w:pPr>
            <w:pStyle w:val="Contents1"/>
            <w:rPr>
              <w:rFonts w:ascii="Calibri" w:hAnsi="Calibri" w:cs="Times New Roman"/>
              <w:szCs w:val="22"/>
              <w:lang w:val="en-US"/>
            </w:rPr>
          </w:pPr>
          <w:hyperlink w:anchor="_Toc421454254">
            <w:r>
              <w:rPr>
                <w:webHidden/>
              </w:rPr>
              <w:fldChar w:fldCharType="begin"/>
            </w:r>
            <w:r>
              <w:rPr>
                <w:webHidden/>
              </w:rPr>
              <w:instrText>PAGEREF _Toc421454254 \h</w:instrText>
            </w:r>
            <w:r>
              <w:rPr>
                <w:webHidden/>
              </w:rPr>
              <w:fldChar w:fldCharType="separate"/>
            </w:r>
            <w:r>
              <w:rPr>
                <w:webHidden/>
                <w:rStyle w:val="IndexLink"/>
                <w:vanish w:val="false"/>
              </w:rPr>
              <w:t>G.</w:t>
              <w:tab/>
              <w:t>Contract Award</w:t>
              <w:tab/>
              <w:t>23</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55">
            <w:r>
              <w:rPr>
                <w:webHidden/>
                <w:rStyle w:val="IndexLink"/>
                <w:b w:val="false"/>
                <w:vanish w:val="false"/>
              </w:rPr>
              <w:t>60.</w:t>
            </w:r>
            <w:r>
              <w:rPr>
                <w:rStyle w:val="IndexLink"/>
                <w:rFonts w:cs="Times New Roman" w:ascii="Calibri" w:hAnsi="Calibri"/>
                <w:b w:val="false"/>
                <w:bCs w:val="false"/>
                <w:sz w:val="22"/>
                <w:szCs w:val="22"/>
                <w:lang w:val="en-US"/>
              </w:rPr>
              <w:tab/>
            </w:r>
            <w:r>
              <w:rPr>
                <w:rStyle w:val="IndexLink"/>
                <w:b w:val="false"/>
              </w:rPr>
              <w:t>Award Criteria</w:t>
            </w:r>
            <w:r>
              <w:rPr>
                <w:webHidden/>
              </w:rPr>
              <w:fldChar w:fldCharType="begin"/>
            </w:r>
            <w:r>
              <w:rPr>
                <w:webHidden/>
              </w:rPr>
              <w:instrText>PAGEREF _Toc421454255 \h</w:instrText>
            </w:r>
            <w:r>
              <w:rPr>
                <w:webHidden/>
              </w:rPr>
              <w:fldChar w:fldCharType="separate"/>
            </w:r>
            <w:r>
              <w:rPr>
                <w:rStyle w:val="IndexLink"/>
                <w:b w:val="false"/>
                <w:vanish w:val="false"/>
              </w:rPr>
              <w:tab/>
              <w:t>23</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56">
            <w:r>
              <w:rPr>
                <w:webHidden/>
                <w:rStyle w:val="IndexLink"/>
                <w:b w:val="false"/>
                <w:vanish w:val="false"/>
              </w:rPr>
              <w:t>61.</w:t>
            </w:r>
            <w:r>
              <w:rPr>
                <w:rStyle w:val="IndexLink"/>
                <w:rFonts w:cs="Times New Roman" w:ascii="Calibri" w:hAnsi="Calibri"/>
                <w:b w:val="false"/>
                <w:bCs w:val="false"/>
                <w:sz w:val="22"/>
                <w:szCs w:val="22"/>
                <w:lang w:val="en-US"/>
              </w:rPr>
              <w:tab/>
            </w:r>
            <w:r>
              <w:rPr>
                <w:rStyle w:val="IndexLink"/>
                <w:b w:val="false"/>
              </w:rPr>
              <w:t>Procuring Entity’s Right to Vary Quantities</w:t>
            </w:r>
            <w:r>
              <w:rPr>
                <w:webHidden/>
              </w:rPr>
              <w:fldChar w:fldCharType="begin"/>
            </w:r>
            <w:r>
              <w:rPr>
                <w:webHidden/>
              </w:rPr>
              <w:instrText>PAGEREF _Toc421454256 \h</w:instrText>
            </w:r>
            <w:r>
              <w:rPr>
                <w:webHidden/>
              </w:rPr>
              <w:fldChar w:fldCharType="separate"/>
            </w:r>
            <w:r>
              <w:rPr>
                <w:rStyle w:val="IndexLink"/>
                <w:b w:val="false"/>
                <w:vanish w:val="false"/>
              </w:rPr>
              <w:tab/>
              <w:t>24</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57">
            <w:r>
              <w:rPr>
                <w:webHidden/>
                <w:rStyle w:val="IndexLink"/>
                <w:b w:val="false"/>
                <w:vanish w:val="false"/>
              </w:rPr>
              <w:t>62.</w:t>
            </w:r>
            <w:r>
              <w:rPr>
                <w:rStyle w:val="IndexLink"/>
                <w:rFonts w:cs="Times New Roman" w:ascii="Calibri" w:hAnsi="Calibri"/>
                <w:b w:val="false"/>
                <w:bCs w:val="false"/>
                <w:sz w:val="22"/>
                <w:szCs w:val="22"/>
                <w:lang w:val="en-US"/>
              </w:rPr>
              <w:tab/>
            </w:r>
            <w:r>
              <w:rPr>
                <w:rStyle w:val="IndexLink"/>
                <w:b w:val="false"/>
              </w:rPr>
              <w:t>Notification of Award</w:t>
            </w:r>
            <w:r>
              <w:rPr>
                <w:webHidden/>
              </w:rPr>
              <w:fldChar w:fldCharType="begin"/>
            </w:r>
            <w:r>
              <w:rPr>
                <w:webHidden/>
              </w:rPr>
              <w:instrText>PAGEREF _Toc421454257 \h</w:instrText>
            </w:r>
            <w:r>
              <w:rPr>
                <w:webHidden/>
              </w:rPr>
              <w:fldChar w:fldCharType="separate"/>
            </w:r>
            <w:r>
              <w:rPr>
                <w:rStyle w:val="IndexLink"/>
                <w:b w:val="false"/>
                <w:vanish w:val="false"/>
              </w:rPr>
              <w:tab/>
              <w:t>24</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58">
            <w:r>
              <w:rPr>
                <w:webHidden/>
                <w:rStyle w:val="IndexLink"/>
                <w:b w:val="false"/>
                <w:vanish w:val="false"/>
              </w:rPr>
              <w:t>63.</w:t>
            </w:r>
            <w:r>
              <w:rPr>
                <w:rStyle w:val="IndexLink"/>
                <w:rFonts w:cs="Times New Roman" w:ascii="Calibri" w:hAnsi="Calibri"/>
                <w:b w:val="false"/>
                <w:bCs w:val="false"/>
                <w:sz w:val="22"/>
                <w:szCs w:val="22"/>
                <w:lang w:val="en-US"/>
              </w:rPr>
              <w:tab/>
            </w:r>
            <w:r>
              <w:rPr>
                <w:rStyle w:val="IndexLink"/>
                <w:b w:val="false"/>
              </w:rPr>
              <w:t>Performance Security</w:t>
            </w:r>
            <w:r>
              <w:rPr>
                <w:webHidden/>
              </w:rPr>
              <w:fldChar w:fldCharType="begin"/>
            </w:r>
            <w:r>
              <w:rPr>
                <w:webHidden/>
              </w:rPr>
              <w:instrText>PAGEREF _Toc421454258 \h</w:instrText>
            </w:r>
            <w:r>
              <w:rPr>
                <w:webHidden/>
              </w:rPr>
              <w:fldChar w:fldCharType="separate"/>
            </w:r>
            <w:r>
              <w:rPr>
                <w:rStyle w:val="IndexLink"/>
                <w:b w:val="false"/>
                <w:vanish w:val="false"/>
              </w:rPr>
              <w:tab/>
              <w:t>25</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59">
            <w:r>
              <w:rPr>
                <w:webHidden/>
                <w:rStyle w:val="IndexLink"/>
                <w:b w:val="false"/>
                <w:vanish w:val="false"/>
              </w:rPr>
              <w:t>64.</w:t>
            </w:r>
            <w:r>
              <w:rPr>
                <w:rStyle w:val="IndexLink"/>
                <w:rFonts w:cs="Times New Roman" w:ascii="Calibri" w:hAnsi="Calibri"/>
                <w:b w:val="false"/>
                <w:bCs w:val="false"/>
                <w:sz w:val="22"/>
                <w:szCs w:val="22"/>
                <w:lang w:val="en-US"/>
              </w:rPr>
              <w:tab/>
            </w:r>
            <w:r>
              <w:rPr>
                <w:rStyle w:val="IndexLink"/>
                <w:b w:val="false"/>
              </w:rPr>
              <w:t>Form and Time Limit for Furnishing of Performance Security</w:t>
            </w:r>
            <w:r>
              <w:rPr>
                <w:webHidden/>
              </w:rPr>
              <w:fldChar w:fldCharType="begin"/>
            </w:r>
            <w:r>
              <w:rPr>
                <w:webHidden/>
              </w:rPr>
              <w:instrText>PAGEREF _Toc421454259 \h</w:instrText>
            </w:r>
            <w:r>
              <w:rPr>
                <w:webHidden/>
              </w:rPr>
              <w:fldChar w:fldCharType="separate"/>
            </w:r>
            <w:r>
              <w:rPr>
                <w:rStyle w:val="IndexLink"/>
                <w:b w:val="false"/>
                <w:vanish w:val="false"/>
              </w:rPr>
              <w:tab/>
              <w:t>25</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60">
            <w:r>
              <w:rPr>
                <w:webHidden/>
                <w:rStyle w:val="IndexLink"/>
                <w:b w:val="false"/>
                <w:vanish w:val="false"/>
              </w:rPr>
              <w:t>65.</w:t>
            </w:r>
            <w:r>
              <w:rPr>
                <w:rStyle w:val="IndexLink"/>
                <w:rFonts w:cs="Times New Roman" w:ascii="Calibri" w:hAnsi="Calibri"/>
                <w:b w:val="false"/>
                <w:bCs w:val="false"/>
                <w:sz w:val="22"/>
                <w:szCs w:val="22"/>
                <w:lang w:val="en-US"/>
              </w:rPr>
              <w:tab/>
            </w:r>
            <w:r>
              <w:rPr>
                <w:rStyle w:val="IndexLink"/>
                <w:b w:val="false"/>
              </w:rPr>
              <w:t>Validity of Performance Security</w:t>
            </w:r>
            <w:r>
              <w:rPr>
                <w:webHidden/>
              </w:rPr>
              <w:fldChar w:fldCharType="begin"/>
            </w:r>
            <w:r>
              <w:rPr>
                <w:webHidden/>
              </w:rPr>
              <w:instrText>PAGEREF _Toc421454260 \h</w:instrText>
            </w:r>
            <w:r>
              <w:rPr>
                <w:webHidden/>
              </w:rPr>
              <w:fldChar w:fldCharType="separate"/>
            </w:r>
            <w:r>
              <w:rPr>
                <w:rStyle w:val="IndexLink"/>
                <w:b w:val="false"/>
                <w:vanish w:val="false"/>
              </w:rPr>
              <w:tab/>
              <w:t>25</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61">
            <w:r>
              <w:rPr>
                <w:webHidden/>
                <w:rStyle w:val="IndexLink"/>
                <w:b w:val="false"/>
                <w:vanish w:val="false"/>
              </w:rPr>
              <w:t>66.</w:t>
            </w:r>
            <w:r>
              <w:rPr>
                <w:rStyle w:val="IndexLink"/>
                <w:rFonts w:cs="Times New Roman" w:ascii="Calibri" w:hAnsi="Calibri"/>
                <w:b w:val="false"/>
                <w:bCs w:val="false"/>
                <w:sz w:val="22"/>
                <w:szCs w:val="22"/>
                <w:lang w:val="en-US"/>
              </w:rPr>
              <w:tab/>
            </w:r>
            <w:r>
              <w:rPr>
                <w:rStyle w:val="IndexLink"/>
                <w:b w:val="false"/>
              </w:rPr>
              <w:t>Authenticity of Performance Security</w:t>
            </w:r>
            <w:r>
              <w:rPr>
                <w:webHidden/>
              </w:rPr>
              <w:fldChar w:fldCharType="begin"/>
            </w:r>
            <w:r>
              <w:rPr>
                <w:webHidden/>
              </w:rPr>
              <w:instrText>PAGEREF _Toc421454261 \h</w:instrText>
            </w:r>
            <w:r>
              <w:rPr>
                <w:webHidden/>
              </w:rPr>
              <w:fldChar w:fldCharType="separate"/>
            </w:r>
            <w:r>
              <w:rPr>
                <w:rStyle w:val="IndexLink"/>
                <w:b w:val="false"/>
                <w:vanish w:val="false"/>
              </w:rPr>
              <w:tab/>
              <w:t>25</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62">
            <w:r>
              <w:rPr>
                <w:webHidden/>
                <w:rStyle w:val="IndexLink"/>
                <w:b w:val="false"/>
                <w:vanish w:val="false"/>
              </w:rPr>
              <w:t>67.</w:t>
            </w:r>
            <w:r>
              <w:rPr>
                <w:rStyle w:val="IndexLink"/>
                <w:rFonts w:cs="Times New Roman" w:ascii="Calibri" w:hAnsi="Calibri"/>
                <w:b w:val="false"/>
                <w:bCs w:val="false"/>
                <w:sz w:val="22"/>
                <w:szCs w:val="22"/>
                <w:lang w:val="en-US"/>
              </w:rPr>
              <w:tab/>
            </w:r>
            <w:r>
              <w:rPr>
                <w:rStyle w:val="IndexLink"/>
                <w:b w:val="false"/>
              </w:rPr>
              <w:t>Contract Signing</w:t>
            </w:r>
            <w:r>
              <w:rPr>
                <w:webHidden/>
              </w:rPr>
              <w:fldChar w:fldCharType="begin"/>
            </w:r>
            <w:r>
              <w:rPr>
                <w:webHidden/>
              </w:rPr>
              <w:instrText>PAGEREF _Toc421454262 \h</w:instrText>
            </w:r>
            <w:r>
              <w:rPr>
                <w:webHidden/>
              </w:rPr>
              <w:fldChar w:fldCharType="separate"/>
            </w:r>
            <w:r>
              <w:rPr>
                <w:rStyle w:val="IndexLink"/>
                <w:b w:val="false"/>
                <w:vanish w:val="false"/>
              </w:rPr>
              <w:tab/>
              <w:t>25</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63">
            <w:r>
              <w:rPr>
                <w:webHidden/>
                <w:rStyle w:val="IndexLink"/>
                <w:b w:val="false"/>
                <w:vanish w:val="false"/>
              </w:rPr>
              <w:t>68.</w:t>
            </w:r>
            <w:r>
              <w:rPr>
                <w:rStyle w:val="IndexLink"/>
                <w:rFonts w:cs="Times New Roman" w:ascii="Calibri" w:hAnsi="Calibri"/>
                <w:b w:val="false"/>
                <w:bCs w:val="false"/>
                <w:sz w:val="22"/>
                <w:szCs w:val="22"/>
                <w:lang w:val="en-US"/>
              </w:rPr>
              <w:tab/>
            </w:r>
            <w:r>
              <w:rPr>
                <w:rStyle w:val="IndexLink"/>
                <w:b w:val="false"/>
              </w:rPr>
              <w:t>Publication of Notification of Award of Contract</w:t>
            </w:r>
            <w:r>
              <w:rPr>
                <w:webHidden/>
              </w:rPr>
              <w:fldChar w:fldCharType="begin"/>
            </w:r>
            <w:r>
              <w:rPr>
                <w:webHidden/>
              </w:rPr>
              <w:instrText>PAGEREF _Toc421454263 \h</w:instrText>
            </w:r>
            <w:r>
              <w:rPr>
                <w:webHidden/>
              </w:rPr>
              <w:fldChar w:fldCharType="separate"/>
            </w:r>
            <w:r>
              <w:rPr>
                <w:rStyle w:val="IndexLink"/>
                <w:b w:val="false"/>
                <w:vanish w:val="false"/>
              </w:rPr>
              <w:tab/>
              <w:t>26</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64">
            <w:r>
              <w:rPr>
                <w:webHidden/>
                <w:rStyle w:val="IndexLink"/>
                <w:b w:val="false"/>
                <w:vanish w:val="false"/>
              </w:rPr>
              <w:t>69.</w:t>
            </w:r>
            <w:r>
              <w:rPr>
                <w:rStyle w:val="IndexLink"/>
                <w:rFonts w:cs="Times New Roman" w:ascii="Calibri" w:hAnsi="Calibri"/>
                <w:b w:val="false"/>
                <w:bCs w:val="false"/>
                <w:sz w:val="22"/>
                <w:szCs w:val="22"/>
                <w:lang w:val="en-US"/>
              </w:rPr>
              <w:tab/>
            </w:r>
            <w:r>
              <w:rPr>
                <w:rStyle w:val="IndexLink"/>
                <w:b w:val="false"/>
              </w:rPr>
              <w:t>Debriefing of Tenderers</w:t>
            </w:r>
            <w:r>
              <w:rPr>
                <w:webHidden/>
              </w:rPr>
              <w:fldChar w:fldCharType="begin"/>
            </w:r>
            <w:r>
              <w:rPr>
                <w:webHidden/>
              </w:rPr>
              <w:instrText>PAGEREF _Toc421454264 \h</w:instrText>
            </w:r>
            <w:r>
              <w:rPr>
                <w:webHidden/>
              </w:rPr>
              <w:fldChar w:fldCharType="separate"/>
            </w:r>
            <w:r>
              <w:rPr>
                <w:rStyle w:val="IndexLink"/>
                <w:b w:val="false"/>
                <w:vanish w:val="false"/>
              </w:rPr>
              <w:tab/>
              <w:t>26</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65">
            <w:r>
              <w:rPr>
                <w:webHidden/>
                <w:rStyle w:val="IndexLink"/>
                <w:b w:val="false"/>
                <w:vanish w:val="false"/>
              </w:rPr>
              <w:t>70.</w:t>
            </w:r>
            <w:r>
              <w:rPr>
                <w:rStyle w:val="IndexLink"/>
                <w:rFonts w:cs="Times New Roman" w:ascii="Calibri" w:hAnsi="Calibri"/>
                <w:b w:val="false"/>
                <w:bCs w:val="false"/>
                <w:sz w:val="22"/>
                <w:szCs w:val="22"/>
                <w:lang w:val="en-US"/>
              </w:rPr>
              <w:tab/>
            </w:r>
            <w:r>
              <w:rPr>
                <w:rStyle w:val="IndexLink"/>
                <w:b w:val="false"/>
              </w:rPr>
              <w:t>Adjudicator</w:t>
            </w:r>
            <w:r>
              <w:rPr>
                <w:webHidden/>
              </w:rPr>
              <w:fldChar w:fldCharType="begin"/>
            </w:r>
            <w:r>
              <w:rPr>
                <w:webHidden/>
              </w:rPr>
              <w:instrText>PAGEREF _Toc421454265 \h</w:instrText>
            </w:r>
            <w:r>
              <w:rPr>
                <w:webHidden/>
              </w:rPr>
              <w:fldChar w:fldCharType="separate"/>
            </w:r>
            <w:r>
              <w:rPr>
                <w:rStyle w:val="IndexLink"/>
                <w:b w:val="false"/>
                <w:vanish w:val="false"/>
              </w:rPr>
              <w:tab/>
              <w:t>26</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66">
            <w:r>
              <w:rPr>
                <w:webHidden/>
                <w:rStyle w:val="IndexLink"/>
                <w:b w:val="false"/>
                <w:vanish w:val="false"/>
              </w:rPr>
              <w:t>71.</w:t>
            </w:r>
            <w:r>
              <w:rPr>
                <w:rStyle w:val="IndexLink"/>
                <w:rFonts w:cs="Times New Roman" w:ascii="Calibri" w:hAnsi="Calibri"/>
                <w:b w:val="false"/>
                <w:bCs w:val="false"/>
                <w:sz w:val="22"/>
                <w:szCs w:val="22"/>
                <w:lang w:val="en-US"/>
              </w:rPr>
              <w:tab/>
            </w:r>
            <w:r>
              <w:rPr>
                <w:rStyle w:val="IndexLink"/>
                <w:b w:val="false"/>
              </w:rPr>
              <w:t>Right to Complain</w:t>
            </w:r>
            <w:r>
              <w:rPr>
                <w:webHidden/>
              </w:rPr>
              <w:fldChar w:fldCharType="begin"/>
            </w:r>
            <w:r>
              <w:rPr>
                <w:webHidden/>
              </w:rPr>
              <w:instrText>PAGEREF _Toc421454266 \h</w:instrText>
            </w:r>
            <w:r>
              <w:rPr>
                <w:webHidden/>
              </w:rPr>
              <w:fldChar w:fldCharType="separate"/>
            </w:r>
            <w:r>
              <w:rPr>
                <w:rStyle w:val="IndexLink"/>
                <w:b w:val="false"/>
                <w:vanish w:val="false"/>
              </w:rPr>
              <w:tab/>
              <w:t>26</w:t>
            </w:r>
            <w:r>
              <w:rPr>
                <w:webHidden/>
              </w:rPr>
              <w:fldChar w:fldCharType="end"/>
            </w:r>
          </w:hyperlink>
        </w:p>
        <w:p>
          <w:pPr>
            <w:pStyle w:val="Contents1"/>
            <w:rPr/>
          </w:pPr>
          <w:hyperlink w:anchor="_Toc421454267">
            <w:r>
              <w:rPr>
                <w:webHidden/>
                <w:rStyle w:val="IndexLink"/>
                <w:vanish w:val="false"/>
              </w:rPr>
              <w:t>Section 2.Tender Data Sheet</w:t>
              <w:tab/>
            </w:r>
          </w:hyperlink>
          <w:r>
            <w:rPr>
              <w:u w:val="none"/>
            </w:rPr>
            <w:t>30</w:t>
          </w:r>
        </w:p>
        <w:p>
          <w:pPr>
            <w:pStyle w:val="Contents2"/>
            <w:tabs>
              <w:tab w:val="clear" w:pos="600"/>
              <w:tab w:val="left" w:pos="990" w:leader="none"/>
              <w:tab w:val="right" w:pos="9019" w:leader="dot"/>
            </w:tabs>
            <w:ind w:left="630" w:right="144" w:hanging="0"/>
            <w:rPr>
              <w:rFonts w:ascii="Calibri" w:hAnsi="Calibri" w:cs="Times New Roman"/>
              <w:szCs w:val="22"/>
              <w:lang w:val="en-US"/>
            </w:rPr>
          </w:pPr>
          <w:hyperlink w:anchor="_Toc421454268">
            <w:r>
              <w:rPr>
                <w:webHidden/>
                <w:rStyle w:val="IndexLink"/>
                <w:vanish w:val="false"/>
              </w:rPr>
              <w:t>A.</w:t>
            </w:r>
            <w:r>
              <w:rPr>
                <w:rStyle w:val="IndexLink"/>
                <w:rFonts w:cs="Times New Roman" w:ascii="Calibri" w:hAnsi="Calibri"/>
                <w:szCs w:val="22"/>
                <w:lang w:val="en-US"/>
              </w:rPr>
              <w:tab/>
            </w:r>
            <w:r>
              <w:rPr>
                <w:rStyle w:val="IndexLink"/>
              </w:rPr>
              <w:t>General</w:t>
            </w:r>
            <w:r>
              <w:rPr>
                <w:webHidden/>
              </w:rPr>
              <w:fldChar w:fldCharType="begin"/>
            </w:r>
            <w:r>
              <w:rPr>
                <w:webHidden/>
              </w:rPr>
              <w:instrText>PAGEREF _Toc421454268 \h</w:instrText>
            </w:r>
            <w:r>
              <w:rPr>
                <w:webHidden/>
              </w:rPr>
              <w:fldChar w:fldCharType="separate"/>
            </w:r>
            <w:r>
              <w:rPr>
                <w:rStyle w:val="IndexLink"/>
                <w:vanish w:val="false"/>
              </w:rPr>
              <w:tab/>
              <w:t>27</w:t>
            </w:r>
            <w:r>
              <w:rPr>
                <w:webHidden/>
              </w:rPr>
              <w:fldChar w:fldCharType="end"/>
            </w:r>
          </w:hyperlink>
        </w:p>
        <w:p>
          <w:pPr>
            <w:pStyle w:val="Contents2"/>
            <w:tabs>
              <w:tab w:val="clear" w:pos="600"/>
              <w:tab w:val="left" w:pos="990" w:leader="none"/>
              <w:tab w:val="right" w:pos="9019" w:leader="dot"/>
            </w:tabs>
            <w:ind w:left="630" w:right="144" w:hanging="0"/>
            <w:rPr>
              <w:rFonts w:ascii="Calibri" w:hAnsi="Calibri" w:cs="Times New Roman"/>
              <w:szCs w:val="22"/>
              <w:lang w:val="en-US"/>
            </w:rPr>
          </w:pPr>
          <w:hyperlink w:anchor="_Toc421454269">
            <w:r>
              <w:rPr>
                <w:webHidden/>
                <w:rStyle w:val="IndexLink"/>
                <w:vanish w:val="false"/>
                <w:lang w:val="fr-FR"/>
              </w:rPr>
              <w:t>B.</w:t>
            </w:r>
            <w:r>
              <w:rPr>
                <w:rStyle w:val="IndexLink"/>
                <w:rFonts w:cs="Times New Roman" w:ascii="Calibri" w:hAnsi="Calibri"/>
                <w:szCs w:val="22"/>
                <w:lang w:val="en-US"/>
              </w:rPr>
              <w:tab/>
            </w:r>
            <w:r>
              <w:rPr>
                <w:rStyle w:val="IndexLink"/>
                <w:lang w:val="fr-FR"/>
              </w:rPr>
              <w:t>Tender Document</w:t>
            </w:r>
            <w:r>
              <w:rPr>
                <w:webHidden/>
              </w:rPr>
              <w:fldChar w:fldCharType="begin"/>
            </w:r>
            <w:r>
              <w:rPr>
                <w:webHidden/>
              </w:rPr>
              <w:instrText>PAGEREF _Toc421454269 \h</w:instrText>
            </w:r>
            <w:r>
              <w:rPr>
                <w:webHidden/>
              </w:rPr>
              <w:fldChar w:fldCharType="separate"/>
            </w:r>
            <w:r>
              <w:rPr>
                <w:rStyle w:val="IndexLink"/>
                <w:vanish w:val="false"/>
              </w:rPr>
              <w:tab/>
              <w:t>27</w:t>
            </w:r>
            <w:r>
              <w:rPr>
                <w:webHidden/>
              </w:rPr>
              <w:fldChar w:fldCharType="end"/>
            </w:r>
          </w:hyperlink>
        </w:p>
        <w:p>
          <w:pPr>
            <w:pStyle w:val="Contents2"/>
            <w:tabs>
              <w:tab w:val="clear" w:pos="600"/>
              <w:tab w:val="left" w:pos="990" w:leader="none"/>
              <w:tab w:val="right" w:pos="9019" w:leader="dot"/>
            </w:tabs>
            <w:ind w:left="630" w:right="144" w:hanging="0"/>
            <w:rPr>
              <w:rFonts w:ascii="Calibri" w:hAnsi="Calibri" w:cs="Times New Roman"/>
              <w:szCs w:val="22"/>
              <w:lang w:val="en-US"/>
            </w:rPr>
          </w:pPr>
          <w:hyperlink w:anchor="_Toc421454270">
            <w:r>
              <w:rPr>
                <w:webHidden/>
                <w:rStyle w:val="IndexLink"/>
                <w:vanish w:val="false"/>
              </w:rPr>
              <w:t>C.</w:t>
            </w:r>
            <w:r>
              <w:rPr>
                <w:rStyle w:val="IndexLink"/>
                <w:rFonts w:cs="Times New Roman" w:ascii="Calibri" w:hAnsi="Calibri"/>
                <w:szCs w:val="22"/>
                <w:lang w:val="en-US"/>
              </w:rPr>
              <w:tab/>
            </w:r>
            <w:r>
              <w:rPr>
                <w:rStyle w:val="IndexLink"/>
              </w:rPr>
              <w:t>Qualification Criteria</w:t>
            </w:r>
            <w:r>
              <w:rPr>
                <w:webHidden/>
              </w:rPr>
              <w:fldChar w:fldCharType="begin"/>
            </w:r>
            <w:r>
              <w:rPr>
                <w:webHidden/>
              </w:rPr>
              <w:instrText>PAGEREF _Toc421454270 \h</w:instrText>
            </w:r>
            <w:r>
              <w:rPr>
                <w:webHidden/>
              </w:rPr>
              <w:fldChar w:fldCharType="separate"/>
            </w:r>
            <w:r>
              <w:rPr>
                <w:rStyle w:val="IndexLink"/>
                <w:vanish w:val="false"/>
              </w:rPr>
              <w:tab/>
              <w:t>28</w:t>
            </w:r>
            <w:r>
              <w:rPr>
                <w:webHidden/>
              </w:rPr>
              <w:fldChar w:fldCharType="end"/>
            </w:r>
          </w:hyperlink>
        </w:p>
        <w:p>
          <w:pPr>
            <w:pStyle w:val="Contents2"/>
            <w:tabs>
              <w:tab w:val="clear" w:pos="600"/>
              <w:tab w:val="left" w:pos="990" w:leader="none"/>
              <w:tab w:val="right" w:pos="9019" w:leader="dot"/>
            </w:tabs>
            <w:ind w:left="630" w:right="144" w:hanging="0"/>
            <w:rPr>
              <w:rFonts w:ascii="Calibri" w:hAnsi="Calibri" w:cs="Times New Roman"/>
              <w:szCs w:val="22"/>
              <w:lang w:val="en-US"/>
            </w:rPr>
          </w:pPr>
          <w:hyperlink w:anchor="_Toc421454271">
            <w:r>
              <w:rPr>
                <w:webHidden/>
                <w:rStyle w:val="IndexLink"/>
                <w:vanish w:val="false"/>
              </w:rPr>
              <w:t>D.</w:t>
            </w:r>
            <w:r>
              <w:rPr>
                <w:rStyle w:val="IndexLink"/>
                <w:rFonts w:cs="Times New Roman" w:ascii="Calibri" w:hAnsi="Calibri"/>
                <w:szCs w:val="22"/>
                <w:lang w:val="en-US"/>
              </w:rPr>
              <w:tab/>
            </w:r>
            <w:r>
              <w:rPr>
                <w:rStyle w:val="IndexLink"/>
              </w:rPr>
              <w:t>Preparation of Tender</w:t>
            </w:r>
            <w:r>
              <w:rPr>
                <w:webHidden/>
              </w:rPr>
              <w:fldChar w:fldCharType="begin"/>
            </w:r>
            <w:r>
              <w:rPr>
                <w:webHidden/>
              </w:rPr>
              <w:instrText>PAGEREF _Toc421454271 \h</w:instrText>
            </w:r>
            <w:r>
              <w:rPr>
                <w:webHidden/>
              </w:rPr>
              <w:fldChar w:fldCharType="separate"/>
            </w:r>
            <w:r>
              <w:rPr>
                <w:rStyle w:val="IndexLink"/>
                <w:vanish w:val="false"/>
              </w:rPr>
              <w:tab/>
              <w:t>29</w:t>
            </w:r>
            <w:r>
              <w:rPr>
                <w:webHidden/>
              </w:rPr>
              <w:fldChar w:fldCharType="end"/>
            </w:r>
          </w:hyperlink>
        </w:p>
        <w:p>
          <w:pPr>
            <w:pStyle w:val="Contents2"/>
            <w:tabs>
              <w:tab w:val="clear" w:pos="600"/>
              <w:tab w:val="left" w:pos="990" w:leader="none"/>
              <w:tab w:val="right" w:pos="9019" w:leader="dot"/>
            </w:tabs>
            <w:ind w:left="630" w:right="144" w:hanging="0"/>
            <w:rPr>
              <w:rFonts w:ascii="Calibri" w:hAnsi="Calibri" w:cs="Times New Roman"/>
              <w:szCs w:val="22"/>
              <w:lang w:val="en-US"/>
            </w:rPr>
          </w:pPr>
          <w:hyperlink w:anchor="_Toc421454272">
            <w:r>
              <w:rPr>
                <w:webHidden/>
                <w:rStyle w:val="IndexLink"/>
                <w:vanish w:val="false"/>
              </w:rPr>
              <w:t>E.</w:t>
            </w:r>
            <w:r>
              <w:rPr>
                <w:rStyle w:val="IndexLink"/>
                <w:rFonts w:cs="Times New Roman" w:ascii="Calibri" w:hAnsi="Calibri"/>
                <w:szCs w:val="22"/>
                <w:lang w:val="en-US"/>
              </w:rPr>
              <w:tab/>
            </w:r>
            <w:r>
              <w:rPr>
                <w:rStyle w:val="IndexLink"/>
              </w:rPr>
              <w:t>Submission of Tender</w:t>
            </w:r>
            <w:r>
              <w:rPr>
                <w:webHidden/>
              </w:rPr>
              <w:fldChar w:fldCharType="begin"/>
            </w:r>
            <w:r>
              <w:rPr>
                <w:webHidden/>
              </w:rPr>
              <w:instrText>PAGEREF _Toc421454272 \h</w:instrText>
            </w:r>
            <w:r>
              <w:rPr>
                <w:webHidden/>
              </w:rPr>
              <w:fldChar w:fldCharType="separate"/>
            </w:r>
            <w:r>
              <w:rPr>
                <w:rStyle w:val="IndexLink"/>
                <w:vanish w:val="false"/>
              </w:rPr>
              <w:tab/>
              <w:t>31</w:t>
            </w:r>
            <w:r>
              <w:rPr>
                <w:webHidden/>
              </w:rPr>
              <w:fldChar w:fldCharType="end"/>
            </w:r>
          </w:hyperlink>
        </w:p>
        <w:p>
          <w:pPr>
            <w:pStyle w:val="Contents2"/>
            <w:tabs>
              <w:tab w:val="clear" w:pos="600"/>
              <w:tab w:val="left" w:pos="990" w:leader="none"/>
              <w:tab w:val="right" w:pos="9019" w:leader="dot"/>
            </w:tabs>
            <w:ind w:left="630" w:right="144" w:hanging="0"/>
            <w:rPr>
              <w:rFonts w:ascii="Calibri" w:hAnsi="Calibri" w:cs="Times New Roman"/>
              <w:szCs w:val="22"/>
              <w:lang w:val="en-US"/>
            </w:rPr>
          </w:pPr>
          <w:hyperlink w:anchor="_Toc421454273">
            <w:r>
              <w:rPr>
                <w:webHidden/>
                <w:rStyle w:val="IndexLink"/>
                <w:vanish w:val="false"/>
              </w:rPr>
              <w:t>F.</w:t>
            </w:r>
            <w:r>
              <w:rPr>
                <w:rStyle w:val="IndexLink"/>
                <w:rFonts w:cs="Times New Roman" w:ascii="Calibri" w:hAnsi="Calibri"/>
                <w:szCs w:val="22"/>
                <w:lang w:val="en-US"/>
              </w:rPr>
              <w:tab/>
            </w:r>
            <w:r>
              <w:rPr>
                <w:rStyle w:val="IndexLink"/>
              </w:rPr>
              <w:t>Opening and Evaluation of Tenders</w:t>
            </w:r>
            <w:r>
              <w:rPr>
                <w:webHidden/>
              </w:rPr>
              <w:fldChar w:fldCharType="begin"/>
            </w:r>
            <w:r>
              <w:rPr>
                <w:webHidden/>
              </w:rPr>
              <w:instrText>PAGEREF _Toc421454273 \h</w:instrText>
            </w:r>
            <w:r>
              <w:rPr>
                <w:webHidden/>
              </w:rPr>
              <w:fldChar w:fldCharType="separate"/>
            </w:r>
            <w:r>
              <w:rPr>
                <w:rStyle w:val="IndexLink"/>
                <w:vanish w:val="false"/>
              </w:rPr>
              <w:tab/>
              <w:t>31</w:t>
            </w:r>
            <w:r>
              <w:rPr>
                <w:webHidden/>
              </w:rPr>
              <w:fldChar w:fldCharType="end"/>
            </w:r>
          </w:hyperlink>
        </w:p>
        <w:p>
          <w:pPr>
            <w:pStyle w:val="Contents2"/>
            <w:tabs>
              <w:tab w:val="clear" w:pos="600"/>
              <w:tab w:val="left" w:pos="990" w:leader="none"/>
              <w:tab w:val="right" w:pos="9019" w:leader="dot"/>
            </w:tabs>
            <w:ind w:left="630" w:right="144" w:hanging="0"/>
            <w:rPr>
              <w:rFonts w:ascii="Calibri" w:hAnsi="Calibri" w:cs="Times New Roman"/>
              <w:szCs w:val="22"/>
              <w:lang w:val="en-US"/>
            </w:rPr>
          </w:pPr>
          <w:hyperlink w:anchor="_Toc421454274">
            <w:r>
              <w:rPr>
                <w:webHidden/>
                <w:rStyle w:val="IndexLink"/>
                <w:vanish w:val="false"/>
              </w:rPr>
              <w:t>G.</w:t>
            </w:r>
            <w:r>
              <w:rPr>
                <w:rStyle w:val="IndexLink"/>
                <w:rFonts w:cs="Times New Roman" w:ascii="Calibri" w:hAnsi="Calibri"/>
                <w:szCs w:val="22"/>
                <w:lang w:val="en-US"/>
              </w:rPr>
              <w:tab/>
            </w:r>
            <w:r>
              <w:rPr>
                <w:rStyle w:val="IndexLink"/>
              </w:rPr>
              <w:t>Award of Contract</w:t>
            </w:r>
            <w:r>
              <w:rPr>
                <w:webHidden/>
              </w:rPr>
              <w:fldChar w:fldCharType="begin"/>
            </w:r>
            <w:r>
              <w:rPr>
                <w:webHidden/>
              </w:rPr>
              <w:instrText>PAGEREF _Toc421454274 \h</w:instrText>
            </w:r>
            <w:r>
              <w:rPr>
                <w:webHidden/>
              </w:rPr>
              <w:fldChar w:fldCharType="separate"/>
            </w:r>
            <w:r>
              <w:rPr>
                <w:rStyle w:val="IndexLink"/>
                <w:vanish w:val="false"/>
              </w:rPr>
              <w:tab/>
              <w:t>32</w:t>
            </w:r>
            <w:r>
              <w:rPr>
                <w:webHidden/>
              </w:rPr>
              <w:fldChar w:fldCharType="end"/>
            </w:r>
          </w:hyperlink>
        </w:p>
        <w:p>
          <w:pPr>
            <w:pStyle w:val="Contents1"/>
            <w:rPr/>
          </w:pPr>
          <w:hyperlink w:anchor="_Toc421454275">
            <w:r>
              <w:rPr>
                <w:webHidden/>
              </w:rPr>
              <w:fldChar w:fldCharType="begin"/>
            </w:r>
            <w:r>
              <w:rPr>
                <w:webHidden/>
              </w:rPr>
              <w:instrText>PAGEREF _Toc421454275 \h</w:instrText>
            </w:r>
            <w:r>
              <w:rPr>
                <w:webHidden/>
              </w:rPr>
              <w:fldChar w:fldCharType="separate"/>
            </w:r>
            <w:r>
              <w:rPr>
                <w:webHidden/>
                <w:rStyle w:val="IndexLink"/>
                <w:vanish w:val="false"/>
              </w:rPr>
              <w:t>Section 3.General Conditions of Contract</w:t>
              <w:tab/>
              <w:t>33</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76">
            <w:r>
              <w:rPr>
                <w:webHidden/>
                <w:rStyle w:val="IndexLink"/>
                <w:b w:val="false"/>
                <w:vanish w:val="false"/>
              </w:rPr>
              <w:t>1.</w:t>
            </w:r>
            <w:r>
              <w:rPr>
                <w:rStyle w:val="IndexLink"/>
                <w:rFonts w:cs="Times New Roman" w:ascii="Calibri" w:hAnsi="Calibri"/>
                <w:b w:val="false"/>
                <w:bCs w:val="false"/>
                <w:sz w:val="22"/>
                <w:szCs w:val="22"/>
                <w:lang w:val="en-US"/>
              </w:rPr>
              <w:tab/>
            </w:r>
            <w:r>
              <w:rPr>
                <w:rStyle w:val="IndexLink"/>
                <w:b w:val="false"/>
              </w:rPr>
              <w:t>Definitions</w:t>
            </w:r>
            <w:r>
              <w:rPr>
                <w:webHidden/>
              </w:rPr>
              <w:fldChar w:fldCharType="begin"/>
            </w:r>
            <w:r>
              <w:rPr>
                <w:webHidden/>
              </w:rPr>
              <w:instrText>PAGEREF _Toc421454276 \h</w:instrText>
            </w:r>
            <w:r>
              <w:rPr>
                <w:webHidden/>
              </w:rPr>
              <w:fldChar w:fldCharType="separate"/>
            </w:r>
            <w:r>
              <w:rPr>
                <w:rStyle w:val="IndexLink"/>
                <w:b w:val="false"/>
                <w:vanish w:val="false"/>
              </w:rPr>
              <w:tab/>
              <w:t>33</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77">
            <w:r>
              <w:rPr>
                <w:webHidden/>
                <w:rStyle w:val="IndexLink"/>
                <w:b w:val="false"/>
                <w:vanish w:val="false"/>
              </w:rPr>
              <w:t>2.</w:t>
            </w:r>
            <w:r>
              <w:rPr>
                <w:rStyle w:val="IndexLink"/>
                <w:rFonts w:cs="Times New Roman" w:ascii="Calibri" w:hAnsi="Calibri"/>
                <w:b w:val="false"/>
                <w:bCs w:val="false"/>
                <w:sz w:val="22"/>
                <w:szCs w:val="22"/>
                <w:lang w:val="en-US"/>
              </w:rPr>
              <w:tab/>
            </w:r>
            <w:r>
              <w:rPr>
                <w:rStyle w:val="IndexLink"/>
                <w:b w:val="false"/>
              </w:rPr>
              <w:t>Interpretation</w:t>
            </w:r>
            <w:r>
              <w:rPr>
                <w:webHidden/>
              </w:rPr>
              <w:fldChar w:fldCharType="begin"/>
            </w:r>
            <w:r>
              <w:rPr>
                <w:webHidden/>
              </w:rPr>
              <w:instrText>PAGEREF _Toc421454277 \h</w:instrText>
            </w:r>
            <w:r>
              <w:rPr>
                <w:webHidden/>
              </w:rPr>
              <w:fldChar w:fldCharType="separate"/>
            </w:r>
            <w:r>
              <w:rPr>
                <w:rStyle w:val="IndexLink"/>
                <w:b w:val="false"/>
                <w:vanish w:val="false"/>
              </w:rPr>
              <w:tab/>
              <w:t>34</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78">
            <w:r>
              <w:rPr>
                <w:webHidden/>
                <w:rStyle w:val="IndexLink"/>
                <w:b w:val="false"/>
                <w:vanish w:val="false"/>
              </w:rPr>
              <w:t>3.</w:t>
            </w:r>
            <w:r>
              <w:rPr>
                <w:rStyle w:val="IndexLink"/>
                <w:rFonts w:cs="Times New Roman" w:ascii="Calibri" w:hAnsi="Calibri"/>
                <w:b w:val="false"/>
                <w:bCs w:val="false"/>
                <w:sz w:val="22"/>
                <w:szCs w:val="22"/>
                <w:lang w:val="en-US"/>
              </w:rPr>
              <w:tab/>
            </w:r>
            <w:r>
              <w:rPr>
                <w:rStyle w:val="IndexLink"/>
                <w:b w:val="false"/>
              </w:rPr>
              <w:t>Communications and Notices</w:t>
            </w:r>
            <w:r>
              <w:rPr>
                <w:webHidden/>
              </w:rPr>
              <w:fldChar w:fldCharType="begin"/>
            </w:r>
            <w:r>
              <w:rPr>
                <w:webHidden/>
              </w:rPr>
              <w:instrText>PAGEREF _Toc421454278 \h</w:instrText>
            </w:r>
            <w:r>
              <w:rPr>
                <w:webHidden/>
              </w:rPr>
              <w:fldChar w:fldCharType="separate"/>
            </w:r>
            <w:r>
              <w:rPr>
                <w:rStyle w:val="IndexLink"/>
                <w:b w:val="false"/>
                <w:vanish w:val="false"/>
              </w:rPr>
              <w:tab/>
              <w:t>35</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79">
            <w:r>
              <w:rPr>
                <w:webHidden/>
                <w:rStyle w:val="IndexLink"/>
                <w:b w:val="false"/>
                <w:vanish w:val="false"/>
              </w:rPr>
              <w:t>4.</w:t>
            </w:r>
            <w:r>
              <w:rPr>
                <w:rStyle w:val="IndexLink"/>
                <w:rFonts w:cs="Times New Roman" w:ascii="Calibri" w:hAnsi="Calibri"/>
                <w:b w:val="false"/>
                <w:bCs w:val="false"/>
                <w:sz w:val="22"/>
                <w:szCs w:val="22"/>
                <w:lang w:val="en-US"/>
              </w:rPr>
              <w:tab/>
            </w:r>
            <w:r>
              <w:rPr>
                <w:rStyle w:val="IndexLink"/>
                <w:b w:val="false"/>
              </w:rPr>
              <w:t>Governing Law</w:t>
            </w:r>
            <w:r>
              <w:rPr>
                <w:webHidden/>
              </w:rPr>
              <w:fldChar w:fldCharType="begin"/>
            </w:r>
            <w:r>
              <w:rPr>
                <w:webHidden/>
              </w:rPr>
              <w:instrText>PAGEREF _Toc421454279 \h</w:instrText>
            </w:r>
            <w:r>
              <w:rPr>
                <w:webHidden/>
              </w:rPr>
              <w:fldChar w:fldCharType="separate"/>
            </w:r>
            <w:r>
              <w:rPr>
                <w:rStyle w:val="IndexLink"/>
                <w:b w:val="false"/>
                <w:vanish w:val="false"/>
              </w:rPr>
              <w:tab/>
              <w:t>35</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80">
            <w:r>
              <w:rPr>
                <w:webHidden/>
                <w:rStyle w:val="IndexLink"/>
                <w:b w:val="false"/>
                <w:vanish w:val="false"/>
              </w:rPr>
              <w:t>5.</w:t>
            </w:r>
            <w:r>
              <w:rPr>
                <w:rStyle w:val="IndexLink"/>
                <w:rFonts w:cs="Times New Roman" w:ascii="Calibri" w:hAnsi="Calibri"/>
                <w:b w:val="false"/>
                <w:bCs w:val="false"/>
                <w:sz w:val="22"/>
                <w:szCs w:val="22"/>
                <w:lang w:val="en-US"/>
              </w:rPr>
              <w:tab/>
            </w:r>
            <w:r>
              <w:rPr>
                <w:rStyle w:val="IndexLink"/>
                <w:b w:val="false"/>
              </w:rPr>
              <w:t>Governing Language</w:t>
            </w:r>
            <w:r>
              <w:rPr>
                <w:webHidden/>
              </w:rPr>
              <w:fldChar w:fldCharType="begin"/>
            </w:r>
            <w:r>
              <w:rPr>
                <w:webHidden/>
              </w:rPr>
              <w:instrText>PAGEREF _Toc421454280 \h</w:instrText>
            </w:r>
            <w:r>
              <w:rPr>
                <w:webHidden/>
              </w:rPr>
              <w:fldChar w:fldCharType="separate"/>
            </w:r>
            <w:r>
              <w:rPr>
                <w:rStyle w:val="IndexLink"/>
                <w:b w:val="false"/>
                <w:vanish w:val="false"/>
              </w:rPr>
              <w:tab/>
              <w:t>35</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81">
            <w:r>
              <w:rPr>
                <w:webHidden/>
                <w:rStyle w:val="IndexLink"/>
                <w:b w:val="false"/>
                <w:vanish w:val="false"/>
              </w:rPr>
              <w:t>6.</w:t>
            </w:r>
            <w:r>
              <w:rPr>
                <w:rStyle w:val="IndexLink"/>
                <w:rFonts w:cs="Times New Roman" w:ascii="Calibri" w:hAnsi="Calibri"/>
                <w:b w:val="false"/>
                <w:bCs w:val="false"/>
                <w:sz w:val="22"/>
                <w:szCs w:val="22"/>
                <w:lang w:val="en-US"/>
              </w:rPr>
              <w:tab/>
            </w:r>
            <w:r>
              <w:rPr>
                <w:rStyle w:val="IndexLink"/>
                <w:b w:val="false"/>
              </w:rPr>
              <w:t>Corrupt, Fraudulent, Collusive, Coercive</w:t>
            </w:r>
          </w:hyperlink>
          <w:hyperlink w:anchor="_Toc421454282">
            <w:r>
              <w:rPr>
                <w:webHidden/>
              </w:rPr>
              <w:fldChar w:fldCharType="begin"/>
            </w:r>
            <w:r>
              <w:rPr>
                <w:webHidden/>
              </w:rPr>
              <w:instrText>PAGEREF _Toc421454282 \h</w:instrText>
            </w:r>
            <w:r>
              <w:rPr>
                <w:webHidden/>
              </w:rPr>
              <w:fldChar w:fldCharType="separate"/>
            </w:r>
            <w:r>
              <w:rPr>
                <w:webHidden/>
                <w:rStyle w:val="IndexLink"/>
                <w:b w:val="false"/>
                <w:vanish w:val="false"/>
              </w:rPr>
              <w:t>( and Obstructive in case of Development Partner) Practices</w:t>
            </w:r>
            <w:r>
              <w:rPr>
                <w:webHidden/>
              </w:rPr>
              <w:fldChar w:fldCharType="end"/>
            </w:r>
          </w:hyperlink>
          <w:r>
            <w:rPr>
              <w:b w:val="false"/>
              <w:vanish w:val="false"/>
            </w:rPr>
            <w:tab/>
            <w:t>35</w:t>
          </w:r>
        </w:p>
        <w:p>
          <w:pPr>
            <w:pStyle w:val="Contents3"/>
            <w:rPr>
              <w:rFonts w:ascii="Calibri" w:hAnsi="Calibri" w:cs="Times New Roman"/>
              <w:b w:val="false"/>
              <w:b w:val="false"/>
              <w:bCs w:val="false"/>
              <w:sz w:val="22"/>
              <w:szCs w:val="22"/>
              <w:lang w:val="en-US"/>
            </w:rPr>
          </w:pPr>
          <w:hyperlink w:anchor="_Toc421454283">
            <w:r>
              <w:rPr>
                <w:webHidden/>
                <w:rStyle w:val="IndexLink"/>
                <w:b w:val="false"/>
                <w:vanish w:val="false"/>
              </w:rPr>
              <w:t>7.</w:t>
            </w:r>
            <w:r>
              <w:rPr>
                <w:rStyle w:val="IndexLink"/>
                <w:rFonts w:cs="Times New Roman" w:ascii="Calibri" w:hAnsi="Calibri"/>
                <w:b w:val="false"/>
                <w:bCs w:val="false"/>
                <w:sz w:val="22"/>
                <w:szCs w:val="22"/>
                <w:lang w:val="en-US"/>
              </w:rPr>
              <w:tab/>
            </w:r>
            <w:r>
              <w:rPr>
                <w:rStyle w:val="IndexLink"/>
                <w:b w:val="false"/>
              </w:rPr>
              <w:t>Documents Forming the Contract and Priority of Documents</w:t>
            </w:r>
            <w:r>
              <w:rPr>
                <w:webHidden/>
              </w:rPr>
              <w:fldChar w:fldCharType="begin"/>
            </w:r>
            <w:r>
              <w:rPr>
                <w:webHidden/>
              </w:rPr>
              <w:instrText>PAGEREF _Toc421454283 \h</w:instrText>
            </w:r>
            <w:r>
              <w:rPr>
                <w:webHidden/>
              </w:rPr>
              <w:fldChar w:fldCharType="separate"/>
            </w:r>
            <w:r>
              <w:rPr>
                <w:rStyle w:val="IndexLink"/>
                <w:b w:val="false"/>
                <w:vanish w:val="false"/>
              </w:rPr>
              <w:tab/>
              <w:t>37</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84">
            <w:r>
              <w:rPr>
                <w:webHidden/>
                <w:rStyle w:val="IndexLink"/>
                <w:b w:val="false"/>
                <w:vanish w:val="false"/>
              </w:rPr>
              <w:t>8.</w:t>
            </w:r>
            <w:r>
              <w:rPr>
                <w:rStyle w:val="IndexLink"/>
                <w:rFonts w:cs="Times New Roman" w:ascii="Calibri" w:hAnsi="Calibri"/>
                <w:b w:val="false"/>
                <w:bCs w:val="false"/>
                <w:sz w:val="22"/>
                <w:szCs w:val="22"/>
                <w:lang w:val="en-US"/>
              </w:rPr>
              <w:tab/>
            </w:r>
            <w:r>
              <w:rPr>
                <w:rStyle w:val="IndexLink"/>
                <w:b w:val="false"/>
              </w:rPr>
              <w:t>Scope of Supply</w:t>
            </w:r>
            <w:r>
              <w:rPr>
                <w:webHidden/>
              </w:rPr>
              <w:fldChar w:fldCharType="begin"/>
            </w:r>
            <w:r>
              <w:rPr>
                <w:webHidden/>
              </w:rPr>
              <w:instrText>PAGEREF _Toc421454284 \h</w:instrText>
            </w:r>
            <w:r>
              <w:rPr>
                <w:webHidden/>
              </w:rPr>
              <w:fldChar w:fldCharType="separate"/>
            </w:r>
            <w:r>
              <w:rPr>
                <w:rStyle w:val="IndexLink"/>
                <w:b w:val="false"/>
                <w:vanish w:val="false"/>
              </w:rPr>
              <w:tab/>
              <w:t>37</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85">
            <w:r>
              <w:rPr>
                <w:webHidden/>
                <w:rStyle w:val="IndexLink"/>
                <w:b w:val="false"/>
                <w:vanish w:val="false"/>
              </w:rPr>
              <w:t>9.</w:t>
            </w:r>
            <w:r>
              <w:rPr>
                <w:rStyle w:val="IndexLink"/>
                <w:rFonts w:cs="Times New Roman" w:ascii="Calibri" w:hAnsi="Calibri"/>
                <w:b w:val="false"/>
                <w:bCs w:val="false"/>
                <w:sz w:val="22"/>
                <w:szCs w:val="22"/>
                <w:lang w:val="en-US"/>
              </w:rPr>
              <w:tab/>
            </w:r>
            <w:r>
              <w:rPr>
                <w:rStyle w:val="IndexLink"/>
                <w:b w:val="false"/>
              </w:rPr>
              <w:t>Assignment</w:t>
            </w:r>
            <w:r>
              <w:rPr>
                <w:webHidden/>
              </w:rPr>
              <w:fldChar w:fldCharType="begin"/>
            </w:r>
            <w:r>
              <w:rPr>
                <w:webHidden/>
              </w:rPr>
              <w:instrText>PAGEREF _Toc421454285 \h</w:instrText>
            </w:r>
            <w:r>
              <w:rPr>
                <w:webHidden/>
              </w:rPr>
              <w:fldChar w:fldCharType="separate"/>
            </w:r>
            <w:r>
              <w:rPr>
                <w:rStyle w:val="IndexLink"/>
                <w:b w:val="false"/>
                <w:vanish w:val="false"/>
              </w:rPr>
              <w:tab/>
              <w:t>38</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86">
            <w:r>
              <w:rPr>
                <w:webHidden/>
                <w:rStyle w:val="IndexLink"/>
                <w:b w:val="false"/>
                <w:vanish w:val="false"/>
              </w:rPr>
              <w:t>10.</w:t>
            </w:r>
            <w:r>
              <w:rPr>
                <w:rStyle w:val="IndexLink"/>
                <w:rFonts w:cs="Times New Roman" w:ascii="Calibri" w:hAnsi="Calibri"/>
                <w:b w:val="false"/>
                <w:bCs w:val="false"/>
                <w:sz w:val="22"/>
                <w:szCs w:val="22"/>
                <w:lang w:val="en-US"/>
              </w:rPr>
              <w:tab/>
            </w:r>
            <w:r>
              <w:rPr>
                <w:rStyle w:val="IndexLink"/>
                <w:b w:val="false"/>
              </w:rPr>
              <w:t>Eligibility</w:t>
            </w:r>
            <w:r>
              <w:rPr>
                <w:webHidden/>
              </w:rPr>
              <w:fldChar w:fldCharType="begin"/>
            </w:r>
            <w:r>
              <w:rPr>
                <w:webHidden/>
              </w:rPr>
              <w:instrText>PAGEREF _Toc421454286 \h</w:instrText>
            </w:r>
            <w:r>
              <w:rPr>
                <w:webHidden/>
              </w:rPr>
              <w:fldChar w:fldCharType="separate"/>
            </w:r>
            <w:r>
              <w:rPr>
                <w:rStyle w:val="IndexLink"/>
                <w:b w:val="false"/>
                <w:vanish w:val="false"/>
              </w:rPr>
              <w:tab/>
              <w:t>38</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87">
            <w:r>
              <w:rPr>
                <w:webHidden/>
                <w:rStyle w:val="IndexLink"/>
                <w:b w:val="false"/>
                <w:vanish w:val="false"/>
              </w:rPr>
              <w:t>11.</w:t>
            </w:r>
            <w:r>
              <w:rPr>
                <w:rStyle w:val="IndexLink"/>
                <w:rFonts w:cs="Times New Roman" w:ascii="Calibri" w:hAnsi="Calibri"/>
                <w:b w:val="false"/>
                <w:bCs w:val="false"/>
                <w:sz w:val="22"/>
                <w:szCs w:val="22"/>
                <w:lang w:val="en-US"/>
              </w:rPr>
              <w:tab/>
            </w:r>
            <w:r>
              <w:rPr>
                <w:rStyle w:val="IndexLink"/>
                <w:b w:val="false"/>
              </w:rPr>
              <w:t>Gratuities /   Agency Fees</w:t>
            </w:r>
            <w:r>
              <w:rPr>
                <w:webHidden/>
              </w:rPr>
              <w:fldChar w:fldCharType="begin"/>
            </w:r>
            <w:r>
              <w:rPr>
                <w:webHidden/>
              </w:rPr>
              <w:instrText>PAGEREF _Toc421454287 \h</w:instrText>
            </w:r>
            <w:r>
              <w:rPr>
                <w:webHidden/>
              </w:rPr>
              <w:fldChar w:fldCharType="separate"/>
            </w:r>
            <w:r>
              <w:rPr>
                <w:rStyle w:val="IndexLink"/>
                <w:b w:val="false"/>
                <w:vanish w:val="false"/>
              </w:rPr>
              <w:tab/>
              <w:t>38</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88">
            <w:r>
              <w:rPr>
                <w:webHidden/>
                <w:rStyle w:val="IndexLink"/>
                <w:b w:val="false"/>
                <w:vanish w:val="false"/>
              </w:rPr>
              <w:t>12.</w:t>
            </w:r>
            <w:r>
              <w:rPr>
                <w:rStyle w:val="IndexLink"/>
                <w:rFonts w:cs="Times New Roman" w:ascii="Calibri" w:hAnsi="Calibri"/>
                <w:b w:val="false"/>
                <w:bCs w:val="false"/>
                <w:sz w:val="22"/>
                <w:szCs w:val="22"/>
                <w:lang w:val="en-US"/>
              </w:rPr>
              <w:tab/>
            </w:r>
            <w:r>
              <w:rPr>
                <w:rStyle w:val="IndexLink"/>
                <w:b w:val="false"/>
              </w:rPr>
              <w:t>Confidential Details</w:t>
            </w:r>
            <w:r>
              <w:rPr>
                <w:webHidden/>
              </w:rPr>
              <w:fldChar w:fldCharType="begin"/>
            </w:r>
            <w:r>
              <w:rPr>
                <w:webHidden/>
              </w:rPr>
              <w:instrText>PAGEREF _Toc421454288 \h</w:instrText>
            </w:r>
            <w:r>
              <w:rPr>
                <w:webHidden/>
              </w:rPr>
              <w:fldChar w:fldCharType="separate"/>
            </w:r>
            <w:r>
              <w:rPr>
                <w:rStyle w:val="IndexLink"/>
                <w:b w:val="false"/>
                <w:vanish w:val="false"/>
              </w:rPr>
              <w:tab/>
              <w:t>38</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89">
            <w:r>
              <w:rPr>
                <w:webHidden/>
                <w:rStyle w:val="IndexLink"/>
                <w:b w:val="false"/>
                <w:vanish w:val="false"/>
              </w:rPr>
              <w:t>13.</w:t>
            </w:r>
            <w:r>
              <w:rPr>
                <w:rStyle w:val="IndexLink"/>
                <w:rFonts w:cs="Times New Roman" w:ascii="Calibri" w:hAnsi="Calibri"/>
                <w:b w:val="false"/>
                <w:bCs w:val="false"/>
                <w:sz w:val="22"/>
                <w:szCs w:val="22"/>
                <w:lang w:val="en-US"/>
              </w:rPr>
              <w:tab/>
            </w:r>
            <w:r>
              <w:rPr>
                <w:rStyle w:val="IndexLink"/>
                <w:b w:val="false"/>
              </w:rPr>
              <w:t>Trademark, Patent and Intellectual Property Rights</w:t>
            </w:r>
            <w:r>
              <w:rPr>
                <w:webHidden/>
              </w:rPr>
              <w:fldChar w:fldCharType="begin"/>
            </w:r>
            <w:r>
              <w:rPr>
                <w:webHidden/>
              </w:rPr>
              <w:instrText>PAGEREF _Toc421454289 \h</w:instrText>
            </w:r>
            <w:r>
              <w:rPr>
                <w:webHidden/>
              </w:rPr>
              <w:fldChar w:fldCharType="separate"/>
            </w:r>
            <w:r>
              <w:rPr>
                <w:rStyle w:val="IndexLink"/>
                <w:b w:val="false"/>
                <w:vanish w:val="false"/>
              </w:rPr>
              <w:tab/>
              <w:t>38</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90">
            <w:r>
              <w:rPr>
                <w:webHidden/>
                <w:rStyle w:val="IndexLink"/>
                <w:b w:val="false"/>
                <w:vanish w:val="false"/>
              </w:rPr>
              <w:t>14.</w:t>
            </w:r>
            <w:r>
              <w:rPr>
                <w:rStyle w:val="IndexLink"/>
                <w:rFonts w:cs="Times New Roman" w:ascii="Calibri" w:hAnsi="Calibri"/>
                <w:b w:val="false"/>
                <w:bCs w:val="false"/>
                <w:sz w:val="22"/>
                <w:szCs w:val="22"/>
                <w:lang w:val="en-US"/>
              </w:rPr>
              <w:tab/>
            </w:r>
            <w:r>
              <w:rPr>
                <w:rStyle w:val="IndexLink"/>
                <w:b w:val="false"/>
              </w:rPr>
              <w:t>Copyright</w:t>
            </w:r>
            <w:r>
              <w:rPr>
                <w:webHidden/>
              </w:rPr>
              <w:fldChar w:fldCharType="begin"/>
            </w:r>
            <w:r>
              <w:rPr>
                <w:webHidden/>
              </w:rPr>
              <w:instrText>PAGEREF _Toc421454290 \h</w:instrText>
            </w:r>
            <w:r>
              <w:rPr>
                <w:webHidden/>
              </w:rPr>
              <w:fldChar w:fldCharType="separate"/>
            </w:r>
            <w:r>
              <w:rPr>
                <w:rStyle w:val="IndexLink"/>
                <w:b w:val="false"/>
                <w:vanish w:val="false"/>
              </w:rPr>
              <w:tab/>
              <w:t>38</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91">
            <w:r>
              <w:rPr>
                <w:webHidden/>
                <w:rStyle w:val="IndexLink"/>
                <w:b w:val="false"/>
                <w:vanish w:val="false"/>
              </w:rPr>
              <w:t>15.</w:t>
            </w:r>
            <w:r>
              <w:rPr>
                <w:rStyle w:val="IndexLink"/>
                <w:rFonts w:cs="Times New Roman" w:ascii="Calibri" w:hAnsi="Calibri"/>
                <w:b w:val="false"/>
                <w:bCs w:val="false"/>
                <w:sz w:val="22"/>
                <w:szCs w:val="22"/>
                <w:lang w:val="en-US"/>
              </w:rPr>
              <w:tab/>
            </w:r>
            <w:r>
              <w:rPr>
                <w:rStyle w:val="IndexLink"/>
                <w:b w:val="false"/>
              </w:rPr>
              <w:t>Sub contracting</w:t>
            </w:r>
            <w:r>
              <w:rPr>
                <w:webHidden/>
              </w:rPr>
              <w:fldChar w:fldCharType="begin"/>
            </w:r>
            <w:r>
              <w:rPr>
                <w:webHidden/>
              </w:rPr>
              <w:instrText>PAGEREF _Toc421454291 \h</w:instrText>
            </w:r>
            <w:r>
              <w:rPr>
                <w:webHidden/>
              </w:rPr>
              <w:fldChar w:fldCharType="separate"/>
            </w:r>
            <w:r>
              <w:rPr>
                <w:rStyle w:val="IndexLink"/>
                <w:b w:val="false"/>
                <w:vanish w:val="false"/>
              </w:rPr>
              <w:tab/>
              <w:t>38</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92">
            <w:r>
              <w:rPr>
                <w:webHidden/>
                <w:rStyle w:val="IndexLink"/>
                <w:b w:val="false"/>
                <w:vanish w:val="false"/>
              </w:rPr>
              <w:t>16.</w:t>
            </w:r>
            <w:r>
              <w:rPr>
                <w:rStyle w:val="IndexLink"/>
                <w:rFonts w:cs="Times New Roman" w:ascii="Calibri" w:hAnsi="Calibri"/>
                <w:b w:val="false"/>
                <w:bCs w:val="false"/>
                <w:sz w:val="22"/>
                <w:szCs w:val="22"/>
                <w:lang w:val="en-US"/>
              </w:rPr>
              <w:tab/>
            </w:r>
            <w:r>
              <w:rPr>
                <w:rStyle w:val="IndexLink"/>
                <w:b w:val="false"/>
              </w:rPr>
              <w:t>Supplier’s Responsibilities</w:t>
            </w:r>
            <w:r>
              <w:rPr>
                <w:webHidden/>
              </w:rPr>
              <w:fldChar w:fldCharType="begin"/>
            </w:r>
            <w:r>
              <w:rPr>
                <w:webHidden/>
              </w:rPr>
              <w:instrText>PAGEREF _Toc421454292 \h</w:instrText>
            </w:r>
            <w:r>
              <w:rPr>
                <w:webHidden/>
              </w:rPr>
              <w:fldChar w:fldCharType="separate"/>
            </w:r>
            <w:r>
              <w:rPr>
                <w:rStyle w:val="IndexLink"/>
                <w:b w:val="false"/>
                <w:vanish w:val="false"/>
              </w:rPr>
              <w:tab/>
              <w:t>39</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93">
            <w:r>
              <w:rPr>
                <w:webHidden/>
                <w:rStyle w:val="IndexLink"/>
                <w:b w:val="false"/>
                <w:vanish w:val="false"/>
              </w:rPr>
              <w:t>17.</w:t>
            </w:r>
            <w:r>
              <w:rPr>
                <w:rStyle w:val="IndexLink"/>
                <w:rFonts w:cs="Times New Roman" w:ascii="Calibri" w:hAnsi="Calibri"/>
                <w:b w:val="false"/>
                <w:bCs w:val="false"/>
                <w:sz w:val="22"/>
                <w:szCs w:val="22"/>
                <w:lang w:val="en-US"/>
              </w:rPr>
              <w:tab/>
            </w:r>
            <w:r>
              <w:rPr>
                <w:rStyle w:val="IndexLink"/>
                <w:b w:val="false"/>
              </w:rPr>
              <w:t>Procuring Entity’s Responsibilities</w:t>
            </w:r>
            <w:r>
              <w:rPr>
                <w:webHidden/>
              </w:rPr>
              <w:fldChar w:fldCharType="begin"/>
            </w:r>
            <w:r>
              <w:rPr>
                <w:webHidden/>
              </w:rPr>
              <w:instrText>PAGEREF _Toc421454293 \h</w:instrText>
            </w:r>
            <w:r>
              <w:rPr>
                <w:webHidden/>
              </w:rPr>
              <w:fldChar w:fldCharType="separate"/>
            </w:r>
            <w:r>
              <w:rPr>
                <w:rStyle w:val="IndexLink"/>
                <w:b w:val="false"/>
                <w:vanish w:val="false"/>
              </w:rPr>
              <w:tab/>
              <w:t>39</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94">
            <w:r>
              <w:rPr>
                <w:webHidden/>
                <w:rStyle w:val="IndexLink"/>
                <w:b w:val="false"/>
                <w:vanish w:val="false"/>
                <w:spacing w:val="-20"/>
                <w:lang w:val="en-GB"/>
              </w:rPr>
              <w:t>18.</w:t>
            </w:r>
            <w:r>
              <w:rPr>
                <w:rStyle w:val="IndexLink"/>
                <w:rFonts w:cs="Times New Roman" w:ascii="Calibri" w:hAnsi="Calibri"/>
                <w:b w:val="false"/>
                <w:bCs w:val="false"/>
                <w:sz w:val="22"/>
                <w:szCs w:val="22"/>
                <w:lang w:val="en-US"/>
              </w:rPr>
              <w:tab/>
            </w:r>
            <w:r>
              <w:rPr>
                <w:rStyle w:val="IndexLink"/>
                <w:b w:val="false"/>
              </w:rPr>
              <w:t>Issue change order, Repeat Orders or Order for Additional Delivery</w:t>
            </w:r>
            <w:r>
              <w:rPr>
                <w:webHidden/>
              </w:rPr>
              <w:fldChar w:fldCharType="begin"/>
            </w:r>
            <w:r>
              <w:rPr>
                <w:webHidden/>
              </w:rPr>
              <w:instrText>PAGEREF _Toc421454294 \h</w:instrText>
            </w:r>
            <w:r>
              <w:rPr>
                <w:webHidden/>
              </w:rPr>
              <w:fldChar w:fldCharType="separate"/>
            </w:r>
            <w:r>
              <w:rPr>
                <w:rStyle w:val="IndexLink"/>
                <w:b w:val="false"/>
                <w:vanish w:val="false"/>
              </w:rPr>
              <w:tab/>
              <w:t>39</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97">
            <w:r>
              <w:rPr>
                <w:webHidden/>
                <w:rStyle w:val="IndexLink"/>
                <w:b w:val="false"/>
                <w:vanish w:val="false"/>
              </w:rPr>
              <w:t>19.</w:t>
            </w:r>
            <w:r>
              <w:rPr>
                <w:rStyle w:val="IndexLink"/>
                <w:rFonts w:cs="Times New Roman" w:ascii="Calibri" w:hAnsi="Calibri"/>
                <w:b w:val="false"/>
                <w:bCs w:val="false"/>
                <w:sz w:val="22"/>
                <w:szCs w:val="22"/>
                <w:lang w:val="en-US"/>
              </w:rPr>
              <w:tab/>
            </w:r>
            <w:r>
              <w:rPr>
                <w:rStyle w:val="IndexLink"/>
                <w:b w:val="false"/>
              </w:rPr>
              <w:t>Repeat Orders or Order for Additional Delivery</w:t>
            </w:r>
            <w:r>
              <w:rPr>
                <w:webHidden/>
              </w:rPr>
              <w:fldChar w:fldCharType="begin"/>
            </w:r>
            <w:r>
              <w:rPr>
                <w:webHidden/>
              </w:rPr>
              <w:instrText>PAGEREF _Toc421454297 \h</w:instrText>
            </w:r>
            <w:r>
              <w:rPr>
                <w:webHidden/>
              </w:rPr>
              <w:fldChar w:fldCharType="separate"/>
            </w:r>
            <w:r>
              <w:rPr>
                <w:rStyle w:val="IndexLink"/>
                <w:b w:val="false"/>
                <w:vanish w:val="false"/>
              </w:rPr>
              <w:tab/>
              <w:t>39</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98">
            <w:r>
              <w:rPr>
                <w:webHidden/>
                <w:rStyle w:val="IndexLink"/>
                <w:b w:val="false"/>
                <w:vanish w:val="false"/>
              </w:rPr>
              <w:t>20.</w:t>
            </w:r>
            <w:r>
              <w:rPr>
                <w:rStyle w:val="IndexLink"/>
                <w:rFonts w:cs="Times New Roman" w:ascii="Calibri" w:hAnsi="Calibri"/>
                <w:b w:val="false"/>
                <w:bCs w:val="false"/>
                <w:sz w:val="22"/>
                <w:szCs w:val="22"/>
                <w:lang w:val="en-US"/>
              </w:rPr>
              <w:tab/>
            </w:r>
            <w:r>
              <w:rPr>
                <w:rStyle w:val="IndexLink"/>
                <w:b w:val="false"/>
              </w:rPr>
              <w:t>Packing and Documents</w:t>
            </w:r>
            <w:r>
              <w:rPr>
                <w:webHidden/>
              </w:rPr>
              <w:fldChar w:fldCharType="begin"/>
            </w:r>
            <w:r>
              <w:rPr>
                <w:webHidden/>
              </w:rPr>
              <w:instrText>PAGEREF _Toc421454298 \h</w:instrText>
            </w:r>
            <w:r>
              <w:rPr>
                <w:webHidden/>
              </w:rPr>
              <w:fldChar w:fldCharType="separate"/>
            </w:r>
            <w:r>
              <w:rPr>
                <w:rStyle w:val="IndexLink"/>
                <w:b w:val="false"/>
                <w:vanish w:val="false"/>
              </w:rPr>
              <w:tab/>
              <w:t>39</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299">
            <w:r>
              <w:rPr>
                <w:webHidden/>
                <w:rStyle w:val="IndexLink"/>
                <w:b w:val="false"/>
                <w:vanish w:val="false"/>
              </w:rPr>
              <w:t>21.</w:t>
            </w:r>
            <w:r>
              <w:rPr>
                <w:rStyle w:val="IndexLink"/>
                <w:rFonts w:cs="Times New Roman" w:ascii="Calibri" w:hAnsi="Calibri"/>
                <w:b w:val="false"/>
                <w:bCs w:val="false"/>
                <w:sz w:val="22"/>
                <w:szCs w:val="22"/>
                <w:lang w:val="en-US"/>
              </w:rPr>
              <w:tab/>
            </w:r>
            <w:r>
              <w:rPr>
                <w:rStyle w:val="IndexLink"/>
                <w:b w:val="false"/>
              </w:rPr>
              <w:t>Delivery and Documents</w:t>
            </w:r>
            <w:r>
              <w:rPr>
                <w:webHidden/>
              </w:rPr>
              <w:fldChar w:fldCharType="begin"/>
            </w:r>
            <w:r>
              <w:rPr>
                <w:webHidden/>
              </w:rPr>
              <w:instrText>PAGEREF _Toc421454299 \h</w:instrText>
            </w:r>
            <w:r>
              <w:rPr>
                <w:webHidden/>
              </w:rPr>
              <w:fldChar w:fldCharType="separate"/>
            </w:r>
            <w:r>
              <w:rPr>
                <w:rStyle w:val="IndexLink"/>
                <w:b w:val="false"/>
                <w:vanish w:val="false"/>
              </w:rPr>
              <w:tab/>
              <w:t>40</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00">
            <w:r>
              <w:rPr>
                <w:webHidden/>
                <w:rStyle w:val="IndexLink"/>
                <w:b w:val="false"/>
                <w:vanish w:val="false"/>
              </w:rPr>
              <w:t>22.</w:t>
            </w:r>
            <w:r>
              <w:rPr>
                <w:rStyle w:val="IndexLink"/>
                <w:rFonts w:cs="Times New Roman" w:ascii="Calibri" w:hAnsi="Calibri"/>
                <w:b w:val="false"/>
                <w:bCs w:val="false"/>
                <w:sz w:val="22"/>
                <w:szCs w:val="22"/>
                <w:lang w:val="en-US"/>
              </w:rPr>
              <w:tab/>
            </w:r>
            <w:r>
              <w:rPr>
                <w:rStyle w:val="IndexLink"/>
                <w:b w:val="false"/>
              </w:rPr>
              <w:t>Acceptance</w:t>
            </w:r>
            <w:r>
              <w:rPr>
                <w:webHidden/>
              </w:rPr>
              <w:fldChar w:fldCharType="begin"/>
            </w:r>
            <w:r>
              <w:rPr>
                <w:webHidden/>
              </w:rPr>
              <w:instrText>PAGEREF _Toc421454300 \h</w:instrText>
            </w:r>
            <w:r>
              <w:rPr>
                <w:webHidden/>
              </w:rPr>
              <w:fldChar w:fldCharType="separate"/>
            </w:r>
            <w:r>
              <w:rPr>
                <w:rStyle w:val="IndexLink"/>
                <w:b w:val="false"/>
                <w:vanish w:val="false"/>
              </w:rPr>
              <w:tab/>
              <w:t>40</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01">
            <w:r>
              <w:rPr>
                <w:webHidden/>
                <w:rStyle w:val="IndexLink"/>
                <w:b w:val="false"/>
                <w:vanish w:val="false"/>
              </w:rPr>
              <w:t>23.</w:t>
            </w:r>
            <w:r>
              <w:rPr>
                <w:rStyle w:val="IndexLink"/>
                <w:rFonts w:cs="Times New Roman" w:ascii="Calibri" w:hAnsi="Calibri"/>
                <w:b w:val="false"/>
                <w:bCs w:val="false"/>
                <w:sz w:val="22"/>
                <w:szCs w:val="22"/>
                <w:lang w:val="en-US"/>
              </w:rPr>
              <w:tab/>
            </w:r>
            <w:r>
              <w:rPr>
                <w:rStyle w:val="IndexLink"/>
                <w:b w:val="false"/>
              </w:rPr>
              <w:t>Contract Price</w:t>
            </w:r>
            <w:r>
              <w:rPr>
                <w:webHidden/>
              </w:rPr>
              <w:fldChar w:fldCharType="begin"/>
            </w:r>
            <w:r>
              <w:rPr>
                <w:webHidden/>
              </w:rPr>
              <w:instrText>PAGEREF _Toc421454301 \h</w:instrText>
            </w:r>
            <w:r>
              <w:rPr>
                <w:webHidden/>
              </w:rPr>
              <w:fldChar w:fldCharType="separate"/>
            </w:r>
            <w:r>
              <w:rPr>
                <w:rStyle w:val="IndexLink"/>
                <w:b w:val="false"/>
                <w:vanish w:val="false"/>
              </w:rPr>
              <w:tab/>
              <w:t>40</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02">
            <w:r>
              <w:rPr>
                <w:webHidden/>
                <w:rStyle w:val="IndexLink"/>
                <w:b w:val="false"/>
                <w:vanish w:val="false"/>
              </w:rPr>
              <w:t>24.</w:t>
            </w:r>
            <w:r>
              <w:rPr>
                <w:rStyle w:val="IndexLink"/>
                <w:rFonts w:cs="Times New Roman" w:ascii="Calibri" w:hAnsi="Calibri"/>
                <w:b w:val="false"/>
                <w:bCs w:val="false"/>
                <w:sz w:val="22"/>
                <w:szCs w:val="22"/>
                <w:lang w:val="en-US"/>
              </w:rPr>
              <w:tab/>
            </w:r>
            <w:r>
              <w:rPr>
                <w:rStyle w:val="IndexLink"/>
                <w:b w:val="false"/>
              </w:rPr>
              <w:t>Transportation</w:t>
            </w:r>
            <w:r>
              <w:rPr>
                <w:webHidden/>
              </w:rPr>
              <w:fldChar w:fldCharType="begin"/>
            </w:r>
            <w:r>
              <w:rPr>
                <w:webHidden/>
              </w:rPr>
              <w:instrText>PAGEREF _Toc421454302 \h</w:instrText>
            </w:r>
            <w:r>
              <w:rPr>
                <w:webHidden/>
              </w:rPr>
              <w:fldChar w:fldCharType="separate"/>
            </w:r>
            <w:r>
              <w:rPr>
                <w:rStyle w:val="IndexLink"/>
                <w:b w:val="false"/>
                <w:vanish w:val="false"/>
              </w:rPr>
              <w:tab/>
              <w:t>40</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03">
            <w:r>
              <w:rPr>
                <w:webHidden/>
                <w:rStyle w:val="IndexLink"/>
                <w:b w:val="false"/>
                <w:vanish w:val="false"/>
              </w:rPr>
              <w:t>25.</w:t>
            </w:r>
            <w:r>
              <w:rPr>
                <w:rStyle w:val="IndexLink"/>
                <w:rFonts w:cs="Times New Roman" w:ascii="Calibri" w:hAnsi="Calibri"/>
                <w:b w:val="false"/>
                <w:bCs w:val="false"/>
                <w:sz w:val="22"/>
                <w:szCs w:val="22"/>
                <w:lang w:val="en-US"/>
              </w:rPr>
              <w:tab/>
            </w:r>
            <w:r>
              <w:rPr>
                <w:rStyle w:val="IndexLink"/>
                <w:b w:val="false"/>
              </w:rPr>
              <w:t>Terms of Payment</w:t>
            </w:r>
            <w:r>
              <w:rPr>
                <w:webHidden/>
              </w:rPr>
              <w:fldChar w:fldCharType="begin"/>
            </w:r>
            <w:r>
              <w:rPr>
                <w:webHidden/>
              </w:rPr>
              <w:instrText>PAGEREF _Toc421454303 \h</w:instrText>
            </w:r>
            <w:r>
              <w:rPr>
                <w:webHidden/>
              </w:rPr>
              <w:fldChar w:fldCharType="separate"/>
            </w:r>
            <w:r>
              <w:rPr>
                <w:rStyle w:val="IndexLink"/>
                <w:b w:val="false"/>
                <w:vanish w:val="false"/>
              </w:rPr>
              <w:tab/>
              <w:t>40</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04">
            <w:r>
              <w:rPr>
                <w:webHidden/>
                <w:rStyle w:val="IndexLink"/>
                <w:b w:val="false"/>
                <w:vanish w:val="false"/>
              </w:rPr>
              <w:t>26.</w:t>
            </w:r>
            <w:r>
              <w:rPr>
                <w:rStyle w:val="IndexLink"/>
                <w:rFonts w:cs="Times New Roman" w:ascii="Calibri" w:hAnsi="Calibri"/>
                <w:b w:val="false"/>
                <w:bCs w:val="false"/>
                <w:sz w:val="22"/>
                <w:szCs w:val="22"/>
                <w:lang w:val="en-US"/>
              </w:rPr>
              <w:tab/>
            </w:r>
            <w:r>
              <w:rPr>
                <w:rStyle w:val="IndexLink"/>
                <w:b w:val="false"/>
              </w:rPr>
              <w:t>Insurance</w:t>
            </w:r>
            <w:r>
              <w:rPr>
                <w:webHidden/>
              </w:rPr>
              <w:fldChar w:fldCharType="begin"/>
            </w:r>
            <w:r>
              <w:rPr>
                <w:webHidden/>
              </w:rPr>
              <w:instrText>PAGEREF _Toc421454304 \h</w:instrText>
            </w:r>
            <w:r>
              <w:rPr>
                <w:webHidden/>
              </w:rPr>
              <w:fldChar w:fldCharType="separate"/>
            </w:r>
            <w:r>
              <w:rPr>
                <w:rStyle w:val="IndexLink"/>
                <w:b w:val="false"/>
                <w:vanish w:val="false"/>
              </w:rPr>
              <w:tab/>
              <w:t>41</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05">
            <w:r>
              <w:rPr>
                <w:webHidden/>
                <w:rStyle w:val="IndexLink"/>
                <w:b w:val="false"/>
                <w:vanish w:val="false"/>
              </w:rPr>
              <w:t>27.</w:t>
            </w:r>
            <w:r>
              <w:rPr>
                <w:rStyle w:val="IndexLink"/>
                <w:rFonts w:cs="Times New Roman" w:ascii="Calibri" w:hAnsi="Calibri"/>
                <w:b w:val="false"/>
                <w:bCs w:val="false"/>
                <w:sz w:val="22"/>
                <w:szCs w:val="22"/>
                <w:lang w:val="en-US"/>
              </w:rPr>
              <w:tab/>
            </w:r>
            <w:r>
              <w:rPr>
                <w:rStyle w:val="IndexLink"/>
                <w:b w:val="false"/>
              </w:rPr>
              <w:t>Taxes and Duties</w:t>
            </w:r>
            <w:r>
              <w:rPr>
                <w:webHidden/>
              </w:rPr>
              <w:fldChar w:fldCharType="begin"/>
            </w:r>
            <w:r>
              <w:rPr>
                <w:webHidden/>
              </w:rPr>
              <w:instrText>PAGEREF _Toc421454305 \h</w:instrText>
            </w:r>
            <w:r>
              <w:rPr>
                <w:webHidden/>
              </w:rPr>
              <w:fldChar w:fldCharType="separate"/>
            </w:r>
            <w:r>
              <w:rPr>
                <w:rStyle w:val="IndexLink"/>
                <w:b w:val="false"/>
                <w:vanish w:val="false"/>
              </w:rPr>
              <w:tab/>
              <w:t>41</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06">
            <w:r>
              <w:rPr>
                <w:webHidden/>
                <w:rStyle w:val="IndexLink"/>
                <w:b w:val="false"/>
                <w:vanish w:val="false"/>
              </w:rPr>
              <w:t>28.</w:t>
            </w:r>
            <w:r>
              <w:rPr>
                <w:rStyle w:val="IndexLink"/>
                <w:rFonts w:cs="Times New Roman" w:ascii="Calibri" w:hAnsi="Calibri"/>
                <w:b w:val="false"/>
                <w:bCs w:val="false"/>
                <w:sz w:val="22"/>
                <w:szCs w:val="22"/>
                <w:lang w:val="en-US"/>
              </w:rPr>
              <w:tab/>
            </w:r>
            <w:r>
              <w:rPr>
                <w:rStyle w:val="IndexLink"/>
                <w:b w:val="false"/>
              </w:rPr>
              <w:t>Performance Security</w:t>
            </w:r>
            <w:r>
              <w:rPr>
                <w:webHidden/>
              </w:rPr>
              <w:fldChar w:fldCharType="begin"/>
            </w:r>
            <w:r>
              <w:rPr>
                <w:webHidden/>
              </w:rPr>
              <w:instrText>PAGEREF _Toc421454306 \h</w:instrText>
            </w:r>
            <w:r>
              <w:rPr>
                <w:webHidden/>
              </w:rPr>
              <w:fldChar w:fldCharType="separate"/>
            </w:r>
            <w:r>
              <w:rPr>
                <w:rStyle w:val="IndexLink"/>
                <w:b w:val="false"/>
                <w:vanish w:val="false"/>
              </w:rPr>
              <w:tab/>
              <w:t>41</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07">
            <w:r>
              <w:rPr>
                <w:webHidden/>
                <w:rStyle w:val="IndexLink"/>
                <w:b w:val="false"/>
                <w:vanish w:val="false"/>
              </w:rPr>
              <w:t>29.</w:t>
            </w:r>
            <w:r>
              <w:rPr>
                <w:rStyle w:val="IndexLink"/>
                <w:rFonts w:cs="Times New Roman" w:ascii="Calibri" w:hAnsi="Calibri"/>
                <w:b w:val="false"/>
                <w:bCs w:val="false"/>
                <w:sz w:val="22"/>
                <w:szCs w:val="22"/>
                <w:lang w:val="en-US"/>
              </w:rPr>
              <w:tab/>
            </w:r>
            <w:r>
              <w:rPr>
                <w:rStyle w:val="IndexLink"/>
                <w:b w:val="false"/>
              </w:rPr>
              <w:t>Specifications and Standards</w:t>
            </w:r>
            <w:r>
              <w:rPr>
                <w:webHidden/>
              </w:rPr>
              <w:fldChar w:fldCharType="begin"/>
            </w:r>
            <w:r>
              <w:rPr>
                <w:webHidden/>
              </w:rPr>
              <w:instrText>PAGEREF _Toc421454307 \h</w:instrText>
            </w:r>
            <w:r>
              <w:rPr>
                <w:webHidden/>
              </w:rPr>
              <w:fldChar w:fldCharType="separate"/>
            </w:r>
            <w:r>
              <w:rPr>
                <w:rStyle w:val="IndexLink"/>
                <w:b w:val="false"/>
                <w:vanish w:val="false"/>
              </w:rPr>
              <w:tab/>
              <w:t>42</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08">
            <w:r>
              <w:rPr>
                <w:webHidden/>
                <w:rStyle w:val="IndexLink"/>
                <w:b w:val="false"/>
                <w:vanish w:val="false"/>
              </w:rPr>
              <w:t>30.</w:t>
            </w:r>
            <w:r>
              <w:rPr>
                <w:rStyle w:val="IndexLink"/>
                <w:rFonts w:cs="Times New Roman" w:ascii="Calibri" w:hAnsi="Calibri"/>
                <w:b w:val="false"/>
                <w:bCs w:val="false"/>
                <w:sz w:val="22"/>
                <w:szCs w:val="22"/>
                <w:lang w:val="en-US"/>
              </w:rPr>
              <w:tab/>
            </w:r>
            <w:r>
              <w:rPr>
                <w:rStyle w:val="IndexLink"/>
                <w:b w:val="false"/>
              </w:rPr>
              <w:t>Inspections and Tests</w:t>
            </w:r>
            <w:r>
              <w:rPr>
                <w:webHidden/>
              </w:rPr>
              <w:fldChar w:fldCharType="begin"/>
            </w:r>
            <w:r>
              <w:rPr>
                <w:webHidden/>
              </w:rPr>
              <w:instrText>PAGEREF _Toc421454308 \h</w:instrText>
            </w:r>
            <w:r>
              <w:rPr>
                <w:webHidden/>
              </w:rPr>
              <w:fldChar w:fldCharType="separate"/>
            </w:r>
            <w:r>
              <w:rPr>
                <w:rStyle w:val="IndexLink"/>
                <w:b w:val="false"/>
                <w:vanish w:val="false"/>
              </w:rPr>
              <w:tab/>
              <w:t>42</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09">
            <w:r>
              <w:rPr>
                <w:webHidden/>
                <w:rStyle w:val="IndexLink"/>
                <w:b w:val="false"/>
                <w:vanish w:val="false"/>
              </w:rPr>
              <w:t>31.</w:t>
            </w:r>
            <w:r>
              <w:rPr>
                <w:rStyle w:val="IndexLink"/>
                <w:rFonts w:cs="Times New Roman" w:ascii="Calibri" w:hAnsi="Calibri"/>
                <w:b w:val="false"/>
                <w:bCs w:val="false"/>
                <w:sz w:val="22"/>
                <w:szCs w:val="22"/>
                <w:lang w:val="en-US"/>
              </w:rPr>
              <w:tab/>
            </w:r>
            <w:r>
              <w:rPr>
                <w:rStyle w:val="IndexLink"/>
                <w:b w:val="false"/>
              </w:rPr>
              <w:t>Warranty</w:t>
            </w:r>
            <w:r>
              <w:rPr>
                <w:webHidden/>
              </w:rPr>
              <w:fldChar w:fldCharType="begin"/>
            </w:r>
            <w:r>
              <w:rPr>
                <w:webHidden/>
              </w:rPr>
              <w:instrText>PAGEREF _Toc421454309 \h</w:instrText>
            </w:r>
            <w:r>
              <w:rPr>
                <w:webHidden/>
              </w:rPr>
              <w:fldChar w:fldCharType="separate"/>
            </w:r>
            <w:r>
              <w:rPr>
                <w:rStyle w:val="IndexLink"/>
                <w:b w:val="false"/>
                <w:vanish w:val="false"/>
              </w:rPr>
              <w:tab/>
              <w:t>43</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10">
            <w:r>
              <w:rPr>
                <w:webHidden/>
                <w:rStyle w:val="IndexLink"/>
                <w:b w:val="false"/>
                <w:vanish w:val="false"/>
              </w:rPr>
              <w:t>32.</w:t>
            </w:r>
            <w:r>
              <w:rPr>
                <w:rStyle w:val="IndexLink"/>
                <w:rFonts w:cs="Times New Roman" w:ascii="Calibri" w:hAnsi="Calibri"/>
                <w:b w:val="false"/>
                <w:bCs w:val="false"/>
                <w:sz w:val="22"/>
                <w:szCs w:val="22"/>
                <w:lang w:val="en-US"/>
              </w:rPr>
              <w:tab/>
            </w:r>
            <w:r>
              <w:rPr>
                <w:rStyle w:val="IndexLink"/>
                <w:b w:val="false"/>
              </w:rPr>
              <w:t>Extension of  Delivery and Completion Schedule</w:t>
            </w:r>
            <w:r>
              <w:rPr>
                <w:webHidden/>
              </w:rPr>
              <w:fldChar w:fldCharType="begin"/>
            </w:r>
            <w:r>
              <w:rPr>
                <w:webHidden/>
              </w:rPr>
              <w:instrText>PAGEREF _Toc421454310 \h</w:instrText>
            </w:r>
            <w:r>
              <w:rPr>
                <w:webHidden/>
              </w:rPr>
              <w:fldChar w:fldCharType="separate"/>
            </w:r>
            <w:r>
              <w:rPr>
                <w:rStyle w:val="IndexLink"/>
                <w:b w:val="false"/>
                <w:vanish w:val="false"/>
              </w:rPr>
              <w:tab/>
              <w:t>44</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14">
            <w:r>
              <w:rPr>
                <w:webHidden/>
                <w:rStyle w:val="IndexLink"/>
                <w:b w:val="false"/>
                <w:vanish w:val="false"/>
              </w:rPr>
              <w:t>33.</w:t>
            </w:r>
            <w:r>
              <w:rPr>
                <w:rStyle w:val="IndexLink"/>
                <w:rFonts w:cs="Times New Roman" w:ascii="Calibri" w:hAnsi="Calibri"/>
                <w:b w:val="false"/>
                <w:bCs w:val="false"/>
                <w:sz w:val="22"/>
                <w:szCs w:val="22"/>
                <w:lang w:val="en-US"/>
              </w:rPr>
              <w:tab/>
            </w:r>
            <w:r>
              <w:rPr>
                <w:rStyle w:val="IndexLink"/>
                <w:b w:val="false"/>
              </w:rPr>
              <w:t>Liquidated Damages</w:t>
            </w:r>
            <w:r>
              <w:rPr>
                <w:webHidden/>
              </w:rPr>
              <w:fldChar w:fldCharType="begin"/>
            </w:r>
            <w:r>
              <w:rPr>
                <w:webHidden/>
              </w:rPr>
              <w:instrText>PAGEREF _Toc421454314 \h</w:instrText>
            </w:r>
            <w:r>
              <w:rPr>
                <w:webHidden/>
              </w:rPr>
              <w:fldChar w:fldCharType="separate"/>
            </w:r>
            <w:r>
              <w:rPr>
                <w:rStyle w:val="IndexLink"/>
                <w:b w:val="false"/>
                <w:vanish w:val="false"/>
              </w:rPr>
              <w:tab/>
              <w:t>44</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15">
            <w:r>
              <w:rPr>
                <w:webHidden/>
                <w:rStyle w:val="IndexLink"/>
                <w:b w:val="false"/>
                <w:vanish w:val="false"/>
              </w:rPr>
              <w:t>34.</w:t>
            </w:r>
            <w:r>
              <w:rPr>
                <w:rStyle w:val="IndexLink"/>
                <w:rFonts w:cs="Times New Roman" w:ascii="Calibri" w:hAnsi="Calibri"/>
                <w:b w:val="false"/>
                <w:bCs w:val="false"/>
                <w:sz w:val="22"/>
                <w:szCs w:val="22"/>
                <w:lang w:val="en-US"/>
              </w:rPr>
              <w:tab/>
            </w:r>
            <w:r>
              <w:rPr>
                <w:rStyle w:val="IndexLink"/>
                <w:b w:val="false"/>
              </w:rPr>
              <w:t>Limitation of Liability</w:t>
            </w:r>
            <w:r>
              <w:rPr>
                <w:webHidden/>
              </w:rPr>
              <w:fldChar w:fldCharType="begin"/>
            </w:r>
            <w:r>
              <w:rPr>
                <w:webHidden/>
              </w:rPr>
              <w:instrText>PAGEREF _Toc421454315 \h</w:instrText>
            </w:r>
            <w:r>
              <w:rPr>
                <w:webHidden/>
              </w:rPr>
              <w:fldChar w:fldCharType="separate"/>
            </w:r>
            <w:r>
              <w:rPr>
                <w:rStyle w:val="IndexLink"/>
                <w:b w:val="false"/>
                <w:vanish w:val="false"/>
              </w:rPr>
              <w:tab/>
              <w:t>44</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16">
            <w:r>
              <w:rPr>
                <w:webHidden/>
                <w:rStyle w:val="IndexLink"/>
                <w:b w:val="false"/>
                <w:vanish w:val="false"/>
              </w:rPr>
              <w:t>35.</w:t>
            </w:r>
            <w:r>
              <w:rPr>
                <w:rStyle w:val="IndexLink"/>
                <w:rFonts w:cs="Times New Roman" w:ascii="Calibri" w:hAnsi="Calibri"/>
                <w:b w:val="false"/>
                <w:bCs w:val="false"/>
                <w:sz w:val="22"/>
                <w:szCs w:val="22"/>
                <w:lang w:val="en-US"/>
              </w:rPr>
              <w:tab/>
            </w:r>
            <w:r>
              <w:rPr>
                <w:rStyle w:val="IndexLink"/>
                <w:b w:val="false"/>
              </w:rPr>
              <w:t>Adjustment for Changes in Legislation</w:t>
            </w:r>
            <w:r>
              <w:rPr>
                <w:webHidden/>
              </w:rPr>
              <w:fldChar w:fldCharType="begin"/>
            </w:r>
            <w:r>
              <w:rPr>
                <w:webHidden/>
              </w:rPr>
              <w:instrText>PAGEREF _Toc421454316 \h</w:instrText>
            </w:r>
            <w:r>
              <w:rPr>
                <w:webHidden/>
              </w:rPr>
              <w:fldChar w:fldCharType="separate"/>
            </w:r>
            <w:r>
              <w:rPr>
                <w:rStyle w:val="IndexLink"/>
                <w:b w:val="false"/>
                <w:vanish w:val="false"/>
              </w:rPr>
              <w:tab/>
              <w:t>45</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17">
            <w:r>
              <w:rPr>
                <w:webHidden/>
                <w:rStyle w:val="IndexLink"/>
                <w:b w:val="false"/>
                <w:vanish w:val="false"/>
              </w:rPr>
              <w:t>36.</w:t>
            </w:r>
            <w:r>
              <w:rPr>
                <w:rStyle w:val="IndexLink"/>
                <w:rFonts w:cs="Times New Roman" w:ascii="Calibri" w:hAnsi="Calibri"/>
                <w:b w:val="false"/>
                <w:bCs w:val="false"/>
                <w:sz w:val="22"/>
                <w:szCs w:val="22"/>
                <w:lang w:val="en-US"/>
              </w:rPr>
              <w:tab/>
            </w:r>
            <w:r>
              <w:rPr>
                <w:rStyle w:val="IndexLink"/>
                <w:b w:val="false"/>
              </w:rPr>
              <w:t>Force Majeure</w:t>
            </w:r>
            <w:r>
              <w:rPr>
                <w:webHidden/>
              </w:rPr>
              <w:fldChar w:fldCharType="begin"/>
            </w:r>
            <w:r>
              <w:rPr>
                <w:webHidden/>
              </w:rPr>
              <w:instrText>PAGEREF _Toc421454317 \h</w:instrText>
            </w:r>
            <w:r>
              <w:rPr>
                <w:webHidden/>
              </w:rPr>
              <w:fldChar w:fldCharType="separate"/>
            </w:r>
            <w:r>
              <w:rPr>
                <w:rStyle w:val="IndexLink"/>
                <w:b w:val="false"/>
                <w:vanish w:val="false"/>
              </w:rPr>
              <w:tab/>
              <w:t>45</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18">
            <w:r>
              <w:rPr>
                <w:webHidden/>
                <w:rStyle w:val="IndexLink"/>
                <w:b w:val="false"/>
                <w:vanish w:val="false"/>
              </w:rPr>
              <w:t>37.</w:t>
            </w:r>
            <w:r>
              <w:rPr>
                <w:rStyle w:val="IndexLink"/>
                <w:rFonts w:cs="Times New Roman" w:ascii="Calibri" w:hAnsi="Calibri"/>
                <w:b w:val="false"/>
                <w:bCs w:val="false"/>
                <w:sz w:val="22"/>
                <w:szCs w:val="22"/>
                <w:lang w:val="en-US"/>
              </w:rPr>
              <w:tab/>
            </w:r>
            <w:r>
              <w:rPr>
                <w:rStyle w:val="IndexLink"/>
                <w:b w:val="false"/>
              </w:rPr>
              <w:t>Notice of Force Majeure</w:t>
            </w:r>
            <w:r>
              <w:rPr>
                <w:webHidden/>
              </w:rPr>
              <w:fldChar w:fldCharType="begin"/>
            </w:r>
            <w:r>
              <w:rPr>
                <w:webHidden/>
              </w:rPr>
              <w:instrText>PAGEREF _Toc421454318 \h</w:instrText>
            </w:r>
            <w:r>
              <w:rPr>
                <w:webHidden/>
              </w:rPr>
              <w:fldChar w:fldCharType="separate"/>
            </w:r>
            <w:r>
              <w:rPr>
                <w:rStyle w:val="IndexLink"/>
                <w:b w:val="false"/>
                <w:vanish w:val="false"/>
              </w:rPr>
              <w:tab/>
              <w:t>45</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19">
            <w:r>
              <w:rPr>
                <w:webHidden/>
                <w:rStyle w:val="IndexLink"/>
                <w:b w:val="false"/>
                <w:vanish w:val="false"/>
              </w:rPr>
              <w:t>38.</w:t>
            </w:r>
            <w:r>
              <w:rPr>
                <w:rStyle w:val="IndexLink"/>
                <w:rFonts w:cs="Times New Roman" w:ascii="Calibri" w:hAnsi="Calibri"/>
                <w:b w:val="false"/>
                <w:bCs w:val="false"/>
                <w:sz w:val="22"/>
                <w:szCs w:val="22"/>
                <w:lang w:val="en-US"/>
              </w:rPr>
              <w:tab/>
            </w:r>
            <w:r>
              <w:rPr>
                <w:rStyle w:val="IndexLink"/>
                <w:b w:val="false"/>
              </w:rPr>
              <w:t>Duty to Minimise Delay</w:t>
            </w:r>
            <w:r>
              <w:rPr>
                <w:webHidden/>
              </w:rPr>
              <w:fldChar w:fldCharType="begin"/>
            </w:r>
            <w:r>
              <w:rPr>
                <w:webHidden/>
              </w:rPr>
              <w:instrText>PAGEREF _Toc421454319 \h</w:instrText>
            </w:r>
            <w:r>
              <w:rPr>
                <w:webHidden/>
              </w:rPr>
              <w:fldChar w:fldCharType="separate"/>
            </w:r>
            <w:r>
              <w:rPr>
                <w:rStyle w:val="IndexLink"/>
                <w:b w:val="false"/>
                <w:vanish w:val="false"/>
              </w:rPr>
              <w:tab/>
              <w:t>45</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20">
            <w:r>
              <w:rPr>
                <w:webHidden/>
                <w:rStyle w:val="IndexLink"/>
                <w:b w:val="false"/>
                <w:vanish w:val="false"/>
              </w:rPr>
              <w:t>39.</w:t>
            </w:r>
            <w:r>
              <w:rPr>
                <w:rStyle w:val="IndexLink"/>
                <w:rFonts w:cs="Times New Roman" w:ascii="Calibri" w:hAnsi="Calibri"/>
                <w:b w:val="false"/>
                <w:bCs w:val="false"/>
                <w:sz w:val="22"/>
                <w:szCs w:val="22"/>
                <w:lang w:val="en-US"/>
              </w:rPr>
              <w:tab/>
            </w:r>
            <w:r>
              <w:rPr>
                <w:rStyle w:val="IndexLink"/>
                <w:b w:val="false"/>
              </w:rPr>
              <w:t>Consequences of Force Majeure</w:t>
            </w:r>
            <w:r>
              <w:rPr>
                <w:webHidden/>
              </w:rPr>
              <w:fldChar w:fldCharType="begin"/>
            </w:r>
            <w:r>
              <w:rPr>
                <w:webHidden/>
              </w:rPr>
              <w:instrText>PAGEREF _Toc421454320 \h</w:instrText>
            </w:r>
            <w:r>
              <w:rPr>
                <w:webHidden/>
              </w:rPr>
              <w:fldChar w:fldCharType="separate"/>
            </w:r>
            <w:r>
              <w:rPr>
                <w:rStyle w:val="IndexLink"/>
                <w:b w:val="false"/>
                <w:vanish w:val="false"/>
              </w:rPr>
              <w:tab/>
              <w:t>46</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21">
            <w:r>
              <w:rPr>
                <w:webHidden/>
                <w:rStyle w:val="IndexLink"/>
                <w:b w:val="false"/>
                <w:vanish w:val="false"/>
              </w:rPr>
              <w:t>40.</w:t>
            </w:r>
            <w:r>
              <w:rPr>
                <w:rStyle w:val="IndexLink"/>
                <w:rFonts w:cs="Times New Roman" w:ascii="Calibri" w:hAnsi="Calibri"/>
                <w:b w:val="false"/>
                <w:bCs w:val="false"/>
                <w:sz w:val="22"/>
                <w:szCs w:val="22"/>
                <w:lang w:val="en-US"/>
              </w:rPr>
              <w:tab/>
            </w:r>
            <w:r>
              <w:rPr>
                <w:rStyle w:val="IndexLink"/>
                <w:b w:val="false"/>
              </w:rPr>
              <w:t>Termination</w:t>
            </w:r>
            <w:r>
              <w:rPr>
                <w:webHidden/>
              </w:rPr>
              <w:fldChar w:fldCharType="begin"/>
            </w:r>
            <w:r>
              <w:rPr>
                <w:webHidden/>
              </w:rPr>
              <w:instrText>PAGEREF _Toc421454321 \h</w:instrText>
            </w:r>
            <w:r>
              <w:rPr>
                <w:webHidden/>
              </w:rPr>
              <w:fldChar w:fldCharType="separate"/>
            </w:r>
            <w:r>
              <w:rPr>
                <w:rStyle w:val="IndexLink"/>
                <w:b w:val="false"/>
                <w:vanish w:val="false"/>
              </w:rPr>
              <w:tab/>
              <w:t>46</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22">
            <w:r>
              <w:rPr>
                <w:webHidden/>
                <w:rStyle w:val="IndexLink"/>
                <w:b w:val="false"/>
                <w:vanish w:val="false"/>
              </w:rPr>
              <w:t>41.</w:t>
            </w:r>
            <w:r>
              <w:rPr>
                <w:rStyle w:val="IndexLink"/>
                <w:rFonts w:cs="Times New Roman" w:ascii="Calibri" w:hAnsi="Calibri"/>
                <w:b w:val="false"/>
                <w:bCs w:val="false"/>
                <w:sz w:val="22"/>
                <w:szCs w:val="22"/>
                <w:lang w:val="en-US"/>
              </w:rPr>
              <w:tab/>
            </w:r>
            <w:r>
              <w:rPr>
                <w:rStyle w:val="IndexLink"/>
                <w:b w:val="false"/>
              </w:rPr>
              <w:t>Amendment to Contract</w:t>
            </w:r>
            <w:r>
              <w:rPr>
                <w:webHidden/>
              </w:rPr>
              <w:fldChar w:fldCharType="begin"/>
            </w:r>
            <w:r>
              <w:rPr>
                <w:webHidden/>
              </w:rPr>
              <w:instrText>PAGEREF _Toc421454322 \h</w:instrText>
            </w:r>
            <w:r>
              <w:rPr>
                <w:webHidden/>
              </w:rPr>
              <w:fldChar w:fldCharType="separate"/>
            </w:r>
            <w:r>
              <w:rPr>
                <w:rStyle w:val="IndexLink"/>
                <w:b w:val="false"/>
                <w:vanish w:val="false"/>
              </w:rPr>
              <w:tab/>
              <w:t>47</w:t>
            </w:r>
            <w:r>
              <w:rPr>
                <w:webHidden/>
              </w:rPr>
              <w:fldChar w:fldCharType="end"/>
            </w:r>
          </w:hyperlink>
        </w:p>
        <w:p>
          <w:pPr>
            <w:pStyle w:val="Contents3"/>
            <w:rPr>
              <w:rFonts w:ascii="Calibri" w:hAnsi="Calibri" w:cs="Times New Roman"/>
              <w:b w:val="false"/>
              <w:b w:val="false"/>
              <w:bCs w:val="false"/>
              <w:sz w:val="22"/>
              <w:szCs w:val="22"/>
              <w:lang w:val="en-US"/>
            </w:rPr>
          </w:pPr>
          <w:hyperlink w:anchor="_Toc421454323">
            <w:r>
              <w:rPr>
                <w:webHidden/>
                <w:rStyle w:val="IndexLink"/>
                <w:b w:val="false"/>
                <w:vanish w:val="false"/>
              </w:rPr>
              <w:t>42.</w:t>
            </w:r>
            <w:r>
              <w:rPr>
                <w:rStyle w:val="IndexLink"/>
                <w:rFonts w:cs="Times New Roman" w:ascii="Calibri" w:hAnsi="Calibri"/>
                <w:b w:val="false"/>
                <w:bCs w:val="false"/>
                <w:sz w:val="22"/>
                <w:szCs w:val="22"/>
                <w:lang w:val="en-US"/>
              </w:rPr>
              <w:tab/>
            </w:r>
            <w:r>
              <w:rPr>
                <w:rStyle w:val="IndexLink"/>
                <w:b w:val="false"/>
              </w:rPr>
              <w:t>Settlement of Disputes</w:t>
            </w:r>
            <w:r>
              <w:rPr>
                <w:webHidden/>
              </w:rPr>
              <w:fldChar w:fldCharType="begin"/>
            </w:r>
            <w:r>
              <w:rPr>
                <w:webHidden/>
              </w:rPr>
              <w:instrText>PAGEREF _Toc421454323 \h</w:instrText>
            </w:r>
            <w:r>
              <w:rPr>
                <w:webHidden/>
              </w:rPr>
              <w:fldChar w:fldCharType="separate"/>
            </w:r>
            <w:r>
              <w:rPr>
                <w:rStyle w:val="IndexLink"/>
                <w:b w:val="false"/>
                <w:vanish w:val="false"/>
              </w:rPr>
              <w:tab/>
              <w:t>47</w:t>
            </w:r>
            <w:r>
              <w:rPr>
                <w:webHidden/>
              </w:rPr>
              <w:fldChar w:fldCharType="end"/>
            </w:r>
          </w:hyperlink>
        </w:p>
        <w:p>
          <w:pPr>
            <w:pStyle w:val="Contents1"/>
            <w:rPr>
              <w:lang w:val="en-GB"/>
            </w:rPr>
          </w:pPr>
          <w:hyperlink w:anchor="_Toc421454324">
            <w:r>
              <w:rPr>
                <w:webHidden/>
              </w:rPr>
              <w:fldChar w:fldCharType="begin"/>
            </w:r>
            <w:r>
              <w:rPr>
                <w:webHidden/>
              </w:rPr>
              <w:instrText>PAGEREF _Toc421454324 \h</w:instrText>
            </w:r>
            <w:r>
              <w:rPr>
                <w:webHidden/>
              </w:rPr>
              <w:fldChar w:fldCharType="separate"/>
            </w:r>
            <w:r>
              <w:rPr>
                <w:webHidden/>
                <w:rStyle w:val="IndexLink"/>
                <w:vanish w:val="false"/>
              </w:rPr>
              <w:t>Section 4.  Particular Conditions of Contract</w:t>
              <w:tab/>
              <w:t>49</w:t>
            </w:r>
            <w:r>
              <w:rPr>
                <w:webHidden/>
              </w:rPr>
              <w:fldChar w:fldCharType="end"/>
            </w:r>
          </w:hyperlink>
        </w:p>
        <w:p>
          <w:pPr>
            <w:pStyle w:val="Contents1"/>
            <w:rPr>
              <w:lang w:val="en-GB"/>
            </w:rPr>
          </w:pPr>
          <w:hyperlink w:anchor="_Toc421454325">
            <w:r>
              <w:rPr>
                <w:webHidden/>
              </w:rPr>
              <w:fldChar w:fldCharType="begin"/>
            </w:r>
            <w:r>
              <w:rPr>
                <w:webHidden/>
              </w:rPr>
              <w:instrText>PAGEREF _Toc421454325 \h</w:instrText>
            </w:r>
            <w:r>
              <w:rPr>
                <w:webHidden/>
              </w:rPr>
              <w:fldChar w:fldCharType="separate"/>
            </w:r>
            <w:r>
              <w:rPr>
                <w:webHidden/>
                <w:rStyle w:val="IndexLink"/>
                <w:vanish w:val="false"/>
              </w:rPr>
              <w:t>Section 5.  Tender and Contract Forms</w:t>
              <w:tab/>
              <w:t>53</w:t>
            </w:r>
            <w:r>
              <w:rPr>
                <w:webHidden/>
              </w:rPr>
              <w:fldChar w:fldCharType="end"/>
            </w:r>
          </w:hyperlink>
        </w:p>
        <w:p>
          <w:pPr>
            <w:pStyle w:val="Contents2"/>
            <w:rPr>
              <w:rFonts w:ascii="Calibri" w:hAnsi="Calibri" w:cs="Times New Roman"/>
              <w:szCs w:val="22"/>
              <w:lang w:val="en-US"/>
            </w:rPr>
          </w:pPr>
          <w:hyperlink w:anchor="_Toc421454326">
            <w:r>
              <w:rPr>
                <w:webHidden/>
              </w:rPr>
              <w:fldChar w:fldCharType="begin"/>
            </w:r>
            <w:r>
              <w:rPr>
                <w:webHidden/>
              </w:rPr>
              <w:instrText>PAGEREF _Toc421454326 \h</w:instrText>
            </w:r>
            <w:r>
              <w:rPr>
                <w:webHidden/>
              </w:rPr>
              <w:fldChar w:fldCharType="separate"/>
            </w:r>
            <w:r>
              <w:rPr>
                <w:webHidden/>
                <w:rStyle w:val="IndexLink"/>
                <w:vanish w:val="false"/>
              </w:rPr>
              <w:t>Tender Submission Letter (Form PG3 –1)</w:t>
              <w:tab/>
              <w:t>54</w:t>
            </w:r>
            <w:r>
              <w:rPr>
                <w:webHidden/>
              </w:rPr>
              <w:fldChar w:fldCharType="end"/>
            </w:r>
          </w:hyperlink>
        </w:p>
        <w:p>
          <w:pPr>
            <w:pStyle w:val="Contents2"/>
            <w:rPr>
              <w:rFonts w:ascii="Calibri" w:hAnsi="Calibri" w:cs="Times New Roman"/>
              <w:szCs w:val="22"/>
              <w:lang w:val="en-US"/>
            </w:rPr>
          </w:pPr>
          <w:hyperlink w:anchor="_Toc421454327">
            <w:r>
              <w:rPr>
                <w:webHidden/>
              </w:rPr>
              <w:fldChar w:fldCharType="begin"/>
            </w:r>
            <w:r>
              <w:rPr>
                <w:webHidden/>
              </w:rPr>
              <w:instrText>PAGEREF _Toc421454327 \h</w:instrText>
            </w:r>
            <w:r>
              <w:rPr>
                <w:webHidden/>
              </w:rPr>
              <w:fldChar w:fldCharType="separate"/>
            </w:r>
            <w:r>
              <w:rPr>
                <w:webHidden/>
                <w:rStyle w:val="IndexLink"/>
                <w:vanish w:val="false"/>
              </w:rPr>
              <w:t>Tenderer Information Sheet (Form PG3-2)</w:t>
              <w:tab/>
              <w:t>57</w:t>
            </w:r>
            <w:r>
              <w:rPr>
                <w:webHidden/>
              </w:rPr>
              <w:fldChar w:fldCharType="end"/>
            </w:r>
          </w:hyperlink>
        </w:p>
        <w:p>
          <w:pPr>
            <w:pStyle w:val="Contents2"/>
            <w:rPr>
              <w:rFonts w:ascii="Calibri" w:hAnsi="Calibri" w:cs="Times New Roman"/>
              <w:szCs w:val="22"/>
              <w:lang w:val="en-US"/>
            </w:rPr>
          </w:pPr>
          <w:hyperlink w:anchor="_Toc421454328">
            <w:r>
              <w:rPr>
                <w:webHidden/>
              </w:rPr>
              <w:fldChar w:fldCharType="begin"/>
            </w:r>
            <w:r>
              <w:rPr>
                <w:webHidden/>
              </w:rPr>
              <w:instrText>PAGEREF _Toc421454328 \h</w:instrText>
            </w:r>
            <w:r>
              <w:rPr>
                <w:webHidden/>
              </w:rPr>
              <w:fldChar w:fldCharType="separate"/>
            </w:r>
            <w:r>
              <w:rPr>
                <w:webHidden/>
                <w:rStyle w:val="IndexLink"/>
                <w:vanish w:val="false"/>
              </w:rPr>
              <w:t>Price Schedule for Goods (Form PG3-4A)</w:t>
              <w:tab/>
              <w:t>61</w:t>
            </w:r>
            <w:r>
              <w:rPr>
                <w:webHidden/>
              </w:rPr>
              <w:fldChar w:fldCharType="end"/>
            </w:r>
          </w:hyperlink>
        </w:p>
        <w:p>
          <w:pPr>
            <w:pStyle w:val="Contents2"/>
            <w:rPr>
              <w:rFonts w:ascii="Calibri" w:hAnsi="Calibri" w:cs="Times New Roman"/>
              <w:szCs w:val="22"/>
              <w:lang w:val="en-US"/>
            </w:rPr>
          </w:pPr>
          <w:hyperlink w:anchor="_Toc421454329">
            <w:r>
              <w:rPr>
                <w:webHidden/>
              </w:rPr>
              <w:fldChar w:fldCharType="begin"/>
            </w:r>
            <w:r>
              <w:rPr>
                <w:webHidden/>
              </w:rPr>
              <w:instrText>PAGEREF _Toc421454329 \h</w:instrText>
            </w:r>
            <w:r>
              <w:rPr>
                <w:webHidden/>
              </w:rPr>
              <w:fldChar w:fldCharType="separate"/>
            </w:r>
            <w:r>
              <w:rPr>
                <w:webHidden/>
                <w:rStyle w:val="IndexLink"/>
                <w:vanish w:val="false"/>
              </w:rPr>
              <w:t>Price Schedule for Related Services (Form PG3-4B)</w:t>
              <w:tab/>
              <w:t>62</w:t>
            </w:r>
            <w:r>
              <w:rPr>
                <w:webHidden/>
              </w:rPr>
              <w:fldChar w:fldCharType="end"/>
            </w:r>
          </w:hyperlink>
        </w:p>
        <w:p>
          <w:pPr>
            <w:pStyle w:val="Contents2"/>
            <w:rPr>
              <w:rFonts w:ascii="Calibri" w:hAnsi="Calibri" w:cs="Times New Roman"/>
              <w:szCs w:val="22"/>
              <w:lang w:val="en-US"/>
            </w:rPr>
          </w:pPr>
          <w:hyperlink w:anchor="_Toc421454330">
            <w:r>
              <w:rPr>
                <w:webHidden/>
              </w:rPr>
              <w:fldChar w:fldCharType="begin"/>
            </w:r>
            <w:r>
              <w:rPr>
                <w:webHidden/>
              </w:rPr>
              <w:instrText>PAGEREF _Toc421454330 \h</w:instrText>
            </w:r>
            <w:r>
              <w:rPr>
                <w:webHidden/>
              </w:rPr>
              <w:fldChar w:fldCharType="separate"/>
            </w:r>
            <w:r>
              <w:rPr>
                <w:webHidden/>
                <w:rStyle w:val="IndexLink"/>
                <w:vanish w:val="false"/>
              </w:rPr>
              <w:t>Specifications Submission and Compliance Sheet (Form PG3-5)</w:t>
              <w:tab/>
              <w:t>63</w:t>
            </w:r>
            <w:r>
              <w:rPr>
                <w:webHidden/>
              </w:rPr>
              <w:fldChar w:fldCharType="end"/>
            </w:r>
          </w:hyperlink>
        </w:p>
        <w:p>
          <w:pPr>
            <w:pStyle w:val="Contents2"/>
            <w:rPr>
              <w:rFonts w:ascii="Calibri" w:hAnsi="Calibri" w:cs="Times New Roman"/>
              <w:szCs w:val="22"/>
              <w:lang w:val="en-US"/>
            </w:rPr>
          </w:pPr>
          <w:hyperlink w:anchor="_Toc421454331">
            <w:r>
              <w:rPr>
                <w:webHidden/>
              </w:rPr>
              <w:fldChar w:fldCharType="begin"/>
            </w:r>
            <w:r>
              <w:rPr>
                <w:webHidden/>
              </w:rPr>
              <w:instrText>PAGEREF _Toc421454331 \h</w:instrText>
            </w:r>
            <w:r>
              <w:rPr>
                <w:webHidden/>
              </w:rPr>
              <w:fldChar w:fldCharType="separate"/>
            </w:r>
            <w:r>
              <w:rPr>
                <w:webHidden/>
                <w:rStyle w:val="IndexLink"/>
                <w:vanish w:val="false"/>
              </w:rPr>
              <w:t>Manufacturer’s Authorisation Letter (Form PG3 - 6)</w:t>
              <w:tab/>
              <w:t>64</w:t>
            </w:r>
            <w:r>
              <w:rPr>
                <w:webHidden/>
              </w:rPr>
              <w:fldChar w:fldCharType="end"/>
            </w:r>
          </w:hyperlink>
        </w:p>
        <w:p>
          <w:pPr>
            <w:pStyle w:val="Contents2"/>
            <w:rPr>
              <w:rFonts w:ascii="Calibri" w:hAnsi="Calibri" w:cs="Times New Roman"/>
              <w:szCs w:val="22"/>
              <w:lang w:val="en-US"/>
            </w:rPr>
          </w:pPr>
          <w:hyperlink w:anchor="_Toc421454332">
            <w:r>
              <w:rPr>
                <w:webHidden/>
                <w:rStyle w:val="IndexLink"/>
                <w:vanish w:val="false"/>
              </w:rPr>
              <w:t>Bank Guarantee for Tender Security (Form PG3–7</w:t>
            </w:r>
            <w:r>
              <w:rPr>
                <w:rStyle w:val="IndexLink"/>
                <w:i/>
              </w:rPr>
              <w:t>)</w:t>
            </w:r>
            <w:r>
              <w:rPr>
                <w:webHidden/>
              </w:rPr>
              <w:fldChar w:fldCharType="begin"/>
            </w:r>
            <w:r>
              <w:rPr>
                <w:webHidden/>
              </w:rPr>
              <w:instrText>PAGEREF _Toc421454332 \h</w:instrText>
            </w:r>
            <w:r>
              <w:rPr>
                <w:webHidden/>
              </w:rPr>
              <w:fldChar w:fldCharType="separate"/>
            </w:r>
            <w:r>
              <w:rPr>
                <w:rStyle w:val="IndexLink"/>
                <w:vanish w:val="false"/>
              </w:rPr>
              <w:tab/>
              <w:t>65</w:t>
            </w:r>
            <w:r>
              <w:rPr>
                <w:webHidden/>
              </w:rPr>
              <w:fldChar w:fldCharType="end"/>
            </w:r>
          </w:hyperlink>
        </w:p>
        <w:p>
          <w:pPr>
            <w:pStyle w:val="Contents2"/>
            <w:rPr>
              <w:rFonts w:ascii="Calibri" w:hAnsi="Calibri" w:cs="Times New Roman"/>
              <w:szCs w:val="22"/>
              <w:lang w:val="en-US"/>
            </w:rPr>
          </w:pPr>
          <w:hyperlink w:anchor="_Toc421454333">
            <w:r>
              <w:rPr>
                <w:webHidden/>
              </w:rPr>
              <w:fldChar w:fldCharType="begin"/>
            </w:r>
            <w:r>
              <w:rPr>
                <w:webHidden/>
              </w:rPr>
              <w:instrText>PAGEREF _Toc421454333 \h</w:instrText>
            </w:r>
            <w:r>
              <w:rPr>
                <w:webHidden/>
              </w:rPr>
              <w:fldChar w:fldCharType="separate"/>
            </w:r>
            <w:r>
              <w:rPr>
                <w:webHidden/>
                <w:rStyle w:val="IndexLink"/>
                <w:vanish w:val="false"/>
              </w:rPr>
              <w:t>Notification of Award (Form PG3 - 9)</w:t>
              <w:tab/>
              <w:t>67</w:t>
            </w:r>
            <w:r>
              <w:rPr>
                <w:webHidden/>
              </w:rPr>
              <w:fldChar w:fldCharType="end"/>
            </w:r>
          </w:hyperlink>
        </w:p>
        <w:p>
          <w:pPr>
            <w:pStyle w:val="Contents2"/>
            <w:rPr>
              <w:rFonts w:ascii="Calibri" w:hAnsi="Calibri" w:cs="Times New Roman"/>
              <w:szCs w:val="22"/>
              <w:lang w:val="en-US"/>
            </w:rPr>
          </w:pPr>
          <w:hyperlink w:anchor="_Toc421454334">
            <w:r>
              <w:rPr>
                <w:webHidden/>
              </w:rPr>
              <w:fldChar w:fldCharType="begin"/>
            </w:r>
            <w:r>
              <w:rPr>
                <w:webHidden/>
              </w:rPr>
              <w:instrText>PAGEREF _Toc421454334 \h</w:instrText>
            </w:r>
            <w:r>
              <w:rPr>
                <w:webHidden/>
              </w:rPr>
              <w:fldChar w:fldCharType="separate"/>
            </w:r>
            <w:r>
              <w:rPr>
                <w:webHidden/>
                <w:rStyle w:val="IndexLink"/>
                <w:vanish w:val="false"/>
              </w:rPr>
              <w:t>Contract Agreement (Form PG3 -10)</w:t>
              <w:tab/>
              <w:t>68</w:t>
            </w:r>
            <w:r>
              <w:rPr>
                <w:webHidden/>
              </w:rPr>
              <w:fldChar w:fldCharType="end"/>
            </w:r>
          </w:hyperlink>
        </w:p>
        <w:p>
          <w:pPr>
            <w:pStyle w:val="Contents2"/>
            <w:rPr>
              <w:rFonts w:ascii="Calibri" w:hAnsi="Calibri" w:cs="Times New Roman"/>
              <w:szCs w:val="22"/>
              <w:lang w:val="en-US"/>
            </w:rPr>
          </w:pPr>
          <w:hyperlink w:anchor="_Toc421454335">
            <w:r>
              <w:rPr>
                <w:webHidden/>
              </w:rPr>
              <w:fldChar w:fldCharType="begin"/>
            </w:r>
            <w:r>
              <w:rPr>
                <w:webHidden/>
              </w:rPr>
              <w:instrText>PAGEREF _Toc421454335 \h</w:instrText>
            </w:r>
            <w:r>
              <w:rPr>
                <w:webHidden/>
              </w:rPr>
              <w:fldChar w:fldCharType="separate"/>
            </w:r>
            <w:r>
              <w:rPr>
                <w:webHidden/>
                <w:rStyle w:val="IndexLink"/>
                <w:vanish w:val="false"/>
              </w:rPr>
              <w:t>Bank Guarantee for Performance Security (Form PG3–11)</w:t>
              <w:tab/>
              <w:t>69</w:t>
            </w:r>
            <w:r>
              <w:rPr>
                <w:webHidden/>
              </w:rPr>
              <w:fldChar w:fldCharType="end"/>
            </w:r>
          </w:hyperlink>
        </w:p>
        <w:p>
          <w:pPr>
            <w:pStyle w:val="Contents2"/>
            <w:rPr>
              <w:rFonts w:ascii="Calibri" w:hAnsi="Calibri" w:cs="Times New Roman"/>
              <w:szCs w:val="22"/>
              <w:lang w:val="en-US"/>
            </w:rPr>
          </w:pPr>
          <w:hyperlink w:anchor="_Toc421454336">
            <w:r>
              <w:rPr>
                <w:webHidden/>
              </w:rPr>
              <w:fldChar w:fldCharType="begin"/>
            </w:r>
            <w:r>
              <w:rPr>
                <w:webHidden/>
              </w:rPr>
              <w:instrText>PAGEREF _Toc421454336 \h</w:instrText>
            </w:r>
            <w:r>
              <w:rPr>
                <w:webHidden/>
              </w:rPr>
              <w:fldChar w:fldCharType="separate"/>
            </w:r>
            <w:r>
              <w:rPr>
                <w:webHidden/>
                <w:rStyle w:val="IndexLink"/>
                <w:vanish w:val="false"/>
              </w:rPr>
              <w:t>Bank Guarantee for Advance Payment (Form PG3–12)</w:t>
              <w:tab/>
              <w:t>70</w:t>
            </w:r>
            <w:r>
              <w:rPr>
                <w:webHidden/>
              </w:rPr>
              <w:fldChar w:fldCharType="end"/>
            </w:r>
          </w:hyperlink>
        </w:p>
        <w:p>
          <w:pPr>
            <w:pStyle w:val="Contents1"/>
            <w:rPr>
              <w:lang w:val="en-GB"/>
            </w:rPr>
          </w:pPr>
          <w:hyperlink w:anchor="_Toc421454337">
            <w:r>
              <w:rPr>
                <w:webHidden/>
                <w:rStyle w:val="IndexLink"/>
                <w:vanish w:val="false"/>
                <w:lang w:val="en-GB"/>
              </w:rPr>
              <w:t>Section 6.Schedule of Requirements</w:t>
            </w:r>
            <w:r>
              <w:rPr>
                <w:webHidden/>
              </w:rPr>
              <w:fldChar w:fldCharType="begin"/>
            </w:r>
            <w:r>
              <w:rPr>
                <w:webHidden/>
              </w:rPr>
              <w:instrText>PAGEREF _Toc421454337 \h</w:instrText>
            </w:r>
            <w:r>
              <w:rPr>
                <w:webHidden/>
              </w:rPr>
              <w:fldChar w:fldCharType="separate"/>
            </w:r>
            <w:r>
              <w:rPr>
                <w:rStyle w:val="IndexLink"/>
                <w:vanish w:val="false"/>
              </w:rPr>
              <w:tab/>
              <w:t>71</w:t>
            </w:r>
            <w:r>
              <w:rPr>
                <w:webHidden/>
              </w:rPr>
              <w:fldChar w:fldCharType="end"/>
            </w:r>
          </w:hyperlink>
        </w:p>
        <w:p>
          <w:pPr>
            <w:pStyle w:val="Contents1"/>
            <w:rPr>
              <w:rFonts w:ascii="Calibri" w:hAnsi="Calibri" w:cs="Times New Roman"/>
              <w:sz w:val="22"/>
              <w:szCs w:val="22"/>
              <w:lang w:val="en-US"/>
            </w:rPr>
          </w:pPr>
          <w:hyperlink w:anchor="_Toc421454338">
            <w:r>
              <w:rPr>
                <w:webHidden/>
              </w:rPr>
              <w:fldChar w:fldCharType="begin"/>
            </w:r>
            <w:r>
              <w:rPr>
                <w:webHidden/>
              </w:rPr>
              <w:instrText>PAGEREF _Toc421454338 \h</w:instrText>
            </w:r>
            <w:r>
              <w:rPr>
                <w:webHidden/>
              </w:rPr>
              <w:fldChar w:fldCharType="separate"/>
            </w:r>
            <w:r>
              <w:rPr>
                <w:webHidden/>
                <w:rStyle w:val="IndexLink"/>
                <w:vanish w:val="false"/>
              </w:rPr>
              <w:t>Section 7.  Technical Specifications</w:t>
              <w:tab/>
              <w:t>73</w:t>
            </w:r>
            <w:r>
              <w:rPr>
                <w:webHidden/>
              </w:rPr>
              <w:fldChar w:fldCharType="end"/>
            </w:r>
          </w:hyperlink>
        </w:p>
        <w:p>
          <w:pPr>
            <w:pStyle w:val="Contents1"/>
            <w:rPr>
              <w:rFonts w:ascii="Calibri" w:hAnsi="Calibri" w:cs="Times New Roman"/>
              <w:sz w:val="22"/>
              <w:szCs w:val="22"/>
              <w:lang w:val="en-US"/>
            </w:rPr>
          </w:pPr>
          <w:hyperlink w:anchor="_Toc421454339">
            <w:r>
              <w:rPr>
                <w:webHidden/>
              </w:rPr>
              <w:fldChar w:fldCharType="begin"/>
            </w:r>
            <w:r>
              <w:rPr>
                <w:webHidden/>
              </w:rPr>
              <w:instrText>PAGEREF _Toc421454339 \h</w:instrText>
            </w:r>
            <w:r>
              <w:rPr>
                <w:webHidden/>
              </w:rPr>
              <w:fldChar w:fldCharType="separate"/>
            </w:r>
            <w:r>
              <w:rPr>
                <w:webHidden/>
                <w:rStyle w:val="IndexLink"/>
                <w:vanish w:val="false"/>
              </w:rPr>
              <w:t>Section 8.  Drawings</w:t>
              <w:tab/>
              <w:t>74</w:t>
            </w:r>
            <w:r>
              <w:rPr>
                <w:webHidden/>
              </w:rPr>
              <w:fldChar w:fldCharType="end"/>
            </w:r>
          </w:hyperlink>
          <w:r>
            <w:rPr>
              <w:rStyle w:val="IndexLink"/>
              <w:vanish w:val="false"/>
            </w:rPr>
            <w:fldChar w:fldCharType="end"/>
          </w:r>
        </w:p>
      </w:sdtContent>
    </w:sdt>
    <w:p>
      <w:pPr>
        <w:pStyle w:val="Normal"/>
        <w:rPr>
          <w:rFonts w:ascii="Arial" w:hAnsi="Arial" w:cs="Arial"/>
          <w:sz w:val="22"/>
          <w:szCs w:val="22"/>
          <w:lang w:val="en-GB"/>
        </w:rPr>
      </w:pPr>
      <w:r>
        <w:rPr>
          <w:rFonts w:cs="Arial" w:ascii="Arial" w:hAnsi="Arial"/>
          <w:sz w:val="22"/>
          <w:szCs w:val="22"/>
          <w:lang w:val="en-GB"/>
        </w:rPr>
      </w:r>
    </w:p>
    <w:p>
      <w:pPr>
        <w:pStyle w:val="Normal"/>
        <w:jc w:val="both"/>
        <w:rPr>
          <w:rFonts w:ascii="Arial" w:hAnsi="Arial" w:cs="Arial"/>
          <w:sz w:val="22"/>
          <w:szCs w:val="22"/>
          <w:lang w:val="en-GB"/>
        </w:rPr>
      </w:pPr>
      <w:r>
        <w:rPr>
          <w:rFonts w:cs="Arial" w:ascii="Arial" w:hAnsi="Arial"/>
          <w:sz w:val="22"/>
          <w:szCs w:val="22"/>
          <w:lang w:val="en-GB"/>
        </w:rPr>
      </w:r>
    </w:p>
    <w:p>
      <w:pPr>
        <w:pStyle w:val="Normal"/>
        <w:jc w:val="both"/>
        <w:rPr>
          <w:rFonts w:ascii="Arial" w:hAnsi="Arial" w:cs="Arial"/>
          <w:sz w:val="22"/>
          <w:szCs w:val="22"/>
          <w:lang w:val="en-GB"/>
        </w:rPr>
      </w:pPr>
      <w:r>
        <w:rPr>
          <w:rFonts w:cs="Arial" w:ascii="Arial" w:hAnsi="Arial"/>
          <w:sz w:val="22"/>
          <w:szCs w:val="22"/>
          <w:lang w:val="en-GB"/>
        </w:rPr>
      </w:r>
    </w:p>
    <w:p>
      <w:pPr>
        <w:pStyle w:val="Normal"/>
        <w:jc w:val="both"/>
        <w:rPr>
          <w:rFonts w:ascii="Arial" w:hAnsi="Arial" w:cs="Arial"/>
          <w:sz w:val="22"/>
          <w:szCs w:val="22"/>
          <w:lang w:val="en-GB"/>
        </w:rPr>
      </w:pPr>
      <w:r>
        <w:rPr>
          <w:rFonts w:cs="Arial" w:ascii="Arial" w:hAnsi="Arial"/>
          <w:sz w:val="22"/>
          <w:szCs w:val="22"/>
          <w:lang w:val="en-GB"/>
        </w:rPr>
      </w:r>
    </w:p>
    <w:p>
      <w:pPr>
        <w:pStyle w:val="Heading1"/>
        <w:spacing w:before="0" w:after="120"/>
        <w:rPr>
          <w:rFonts w:ascii="Arial" w:hAnsi="Arial" w:cs="Arial"/>
          <w:sz w:val="32"/>
          <w:lang w:val="en-GB"/>
        </w:rPr>
      </w:pPr>
      <w:bookmarkStart w:id="6" w:name="_Toc421454185"/>
      <w:bookmarkEnd w:id="4"/>
      <w:bookmarkEnd w:id="5"/>
      <w:r>
        <w:rPr>
          <w:rFonts w:cs="Arial" w:ascii="Arial" w:hAnsi="Arial"/>
          <w:sz w:val="32"/>
          <w:lang w:val="en-GB"/>
        </w:rPr>
        <w:t>Section 1.</w:t>
        <w:tab/>
        <w:t>Instructions to Tenderers</w:t>
      </w:r>
      <w:bookmarkEnd w:id="6"/>
    </w:p>
    <w:tbl>
      <w:tblPr>
        <w:tblW w:w="9243" w:type="dxa"/>
        <w:jc w:val="left"/>
        <w:tblInd w:w="-135" w:type="dxa"/>
        <w:tblLayout w:type="fixed"/>
        <w:tblCellMar>
          <w:top w:w="0" w:type="dxa"/>
          <w:left w:w="108" w:type="dxa"/>
          <w:bottom w:w="0" w:type="dxa"/>
          <w:right w:w="108" w:type="dxa"/>
        </w:tblCellMar>
        <w:tblLook w:val="0000" w:noHBand="0" w:noVBand="0" w:firstColumn="0" w:lastRow="0" w:lastColumn="0" w:firstRow="0"/>
      </w:tblPr>
      <w:tblGrid>
        <w:gridCol w:w="2222"/>
        <w:gridCol w:w="46"/>
        <w:gridCol w:w="135"/>
        <w:gridCol w:w="6839"/>
      </w:tblGrid>
      <w:tr>
        <w:trPr/>
        <w:tc>
          <w:tcPr>
            <w:tcW w:w="9242" w:type="dxa"/>
            <w:gridSpan w:val="4"/>
            <w:tcBorders/>
          </w:tcPr>
          <w:p>
            <w:pPr>
              <w:pStyle w:val="Heading2"/>
              <w:widowControl w:val="false"/>
              <w:spacing w:before="80" w:after="80"/>
              <w:rPr>
                <w:rFonts w:ascii="Arial" w:hAnsi="Arial"/>
                <w:sz w:val="21"/>
                <w:szCs w:val="21"/>
                <w:lang w:val="en-GB"/>
              </w:rPr>
            </w:pPr>
            <w:bookmarkStart w:id="7" w:name="_Toc49591665"/>
            <w:bookmarkStart w:id="8" w:name="_Toc505659523"/>
            <w:bookmarkStart w:id="9" w:name="_Toc37047273"/>
            <w:bookmarkStart w:id="10" w:name="_Toc49504185"/>
            <w:bookmarkStart w:id="11" w:name="_Toc49504619"/>
            <w:bookmarkStart w:id="12" w:name="_Toc49569755"/>
            <w:bookmarkStart w:id="13" w:name="_Toc49591317"/>
            <w:bookmarkStart w:id="14" w:name="_Toc421454186"/>
            <w:bookmarkStart w:id="15" w:name="_Toc49504738"/>
            <w:r>
              <w:rPr>
                <w:rFonts w:ascii="Arial" w:hAnsi="Arial"/>
                <w:sz w:val="25"/>
                <w:szCs w:val="21"/>
                <w:lang w:val="en-GB"/>
              </w:rPr>
              <w:t>A.</w:t>
              <w:tab/>
              <w:t>General</w:t>
            </w:r>
            <w:bookmarkEnd w:id="7"/>
            <w:bookmarkEnd w:id="8"/>
            <w:bookmarkEnd w:id="9"/>
            <w:bookmarkEnd w:id="10"/>
            <w:bookmarkEnd w:id="11"/>
            <w:bookmarkEnd w:id="12"/>
            <w:bookmarkEnd w:id="13"/>
            <w:bookmarkEnd w:id="14"/>
            <w:bookmarkEnd w:id="15"/>
          </w:p>
        </w:tc>
      </w:tr>
      <w:tr>
        <w:trPr/>
        <w:tc>
          <w:tcPr>
            <w:tcW w:w="2222" w:type="dxa"/>
            <w:vMerge w:val="restart"/>
            <w:tcBorders/>
            <w:shd w:color="auto" w:fill="auto" w:val="clear"/>
          </w:tcPr>
          <w:p>
            <w:pPr>
              <w:pStyle w:val="Normal"/>
              <w:widowControl w:val="false"/>
              <w:numPr>
                <w:ilvl w:val="0"/>
                <w:numId w:val="31"/>
              </w:numPr>
              <w:spacing w:before="120" w:after="0"/>
              <w:ind w:left="360" w:hanging="351"/>
              <w:outlineLvl w:val="2"/>
              <w:rPr>
                <w:rStyle w:val="Heading3Char"/>
                <w:rFonts w:ascii="Arial" w:hAnsi="Arial"/>
                <w:b/>
                <w:b/>
                <w:bCs w:val="false"/>
                <w:sz w:val="22"/>
                <w:szCs w:val="22"/>
              </w:rPr>
            </w:pPr>
            <w:bookmarkStart w:id="16" w:name="_Toc109357993"/>
            <w:bookmarkStart w:id="17" w:name="_Toc421454187"/>
            <w:bookmarkStart w:id="18" w:name="_Toc140915636"/>
            <w:bookmarkStart w:id="19" w:name="_Toc109358074"/>
            <w:r>
              <w:rPr>
                <w:rStyle w:val="Heading3Char"/>
                <w:rFonts w:ascii="Arial" w:hAnsi="Arial"/>
                <w:b/>
                <w:bCs w:val="false"/>
                <w:sz w:val="22"/>
                <w:szCs w:val="22"/>
              </w:rPr>
              <w:t>Scope of Tender</w:t>
            </w:r>
            <w:bookmarkEnd w:id="16"/>
            <w:bookmarkEnd w:id="17"/>
            <w:bookmarkEnd w:id="18"/>
            <w:bookmarkEnd w:id="19"/>
          </w:p>
        </w:tc>
        <w:tc>
          <w:tcPr>
            <w:tcW w:w="7020" w:type="dxa"/>
            <w:gridSpan w:val="3"/>
            <w:tcBorders/>
          </w:tcPr>
          <w:p>
            <w:pPr>
              <w:pStyle w:val="Normal"/>
              <w:widowControl w:val="false"/>
              <w:numPr>
                <w:ilvl w:val="1"/>
                <w:numId w:val="13"/>
              </w:numPr>
              <w:spacing w:before="120" w:after="120"/>
              <w:ind w:left="585" w:hanging="576"/>
              <w:jc w:val="both"/>
              <w:rPr>
                <w:rFonts w:ascii="Arial" w:hAnsi="Arial" w:cs="Arial"/>
                <w:sz w:val="22"/>
                <w:szCs w:val="22"/>
                <w:lang w:val="en-GB"/>
              </w:rPr>
            </w:pPr>
            <w:r>
              <w:rPr>
                <w:rFonts w:cs="Arial" w:ascii="Arial" w:hAnsi="Arial"/>
                <w:sz w:val="22"/>
                <w:szCs w:val="22"/>
                <w:lang w:val="en-GB"/>
              </w:rPr>
              <w:t>The Procuring Entity, as indicated in the Tender Data Sheet (</w:t>
            </w:r>
            <w:hyperlink w:anchor="bds1_1">
              <w:r>
                <w:rPr>
                  <w:rFonts w:cs="Arial" w:ascii="Arial" w:hAnsi="Arial"/>
                  <w:b/>
                  <w:sz w:val="22"/>
                  <w:szCs w:val="22"/>
                  <w:lang w:val="en-GB"/>
                </w:rPr>
                <w:t>TDS</w:t>
              </w:r>
            </w:hyperlink>
            <w:r>
              <w:rPr>
                <w:rFonts w:cs="Arial" w:ascii="Arial" w:hAnsi="Arial"/>
                <w:sz w:val="22"/>
                <w:szCs w:val="22"/>
                <w:lang w:val="en-GB"/>
              </w:rPr>
              <w:t xml:space="preserve">) issues this Tender Document for the supply of Goods and related services incidental thereto, as specified in the </w:t>
            </w:r>
            <w:r>
              <w:rPr>
                <w:rFonts w:cs="Arial" w:ascii="Arial" w:hAnsi="Arial"/>
                <w:b/>
                <w:sz w:val="22"/>
                <w:szCs w:val="22"/>
                <w:lang w:val="en-GB"/>
              </w:rPr>
              <w:t>TDS</w:t>
            </w:r>
            <w:r>
              <w:rPr>
                <w:rFonts w:cs="Arial" w:ascii="Arial" w:hAnsi="Arial"/>
                <w:sz w:val="22"/>
                <w:szCs w:val="22"/>
                <w:lang w:val="en-GB"/>
              </w:rPr>
              <w:t xml:space="preserve"> and as detailed in Section 6: Schedule of Requirements. The name of the Tender and the number and identification of its constituent lot(s) are stated in the </w:t>
            </w:r>
            <w:r>
              <w:rPr>
                <w:rFonts w:cs="Arial" w:ascii="Arial" w:hAnsi="Arial"/>
                <w:b/>
                <w:sz w:val="22"/>
                <w:szCs w:val="22"/>
                <w:lang w:val="en-GB"/>
              </w:rPr>
              <w:t>TDS</w:t>
            </w:r>
            <w:r>
              <w:rPr>
                <w:rFonts w:cs="Arial" w:ascii="Arial" w:hAnsi="Arial"/>
                <w:sz w:val="22"/>
                <w:szCs w:val="22"/>
                <w:lang w:val="en-GB"/>
              </w:rPr>
              <w:t>.</w:t>
            </w:r>
          </w:p>
        </w:tc>
      </w:tr>
      <w:tr>
        <w:trPr/>
        <w:tc>
          <w:tcPr>
            <w:tcW w:w="2222" w:type="dxa"/>
            <w:vMerge w:val="continue"/>
            <w:tcBorders/>
            <w:shd w:color="auto" w:fill="auto" w:val="clear"/>
          </w:tcPr>
          <w:p>
            <w:pPr>
              <w:pStyle w:val="Heading3"/>
              <w:keepNext w:val="false"/>
              <w:widowControl w:val="false"/>
              <w:spacing w:before="120" w:after="120"/>
              <w:ind w:right="40" w:hanging="0"/>
              <w:rPr>
                <w:rStyle w:val="Heading3Char"/>
                <w:rFonts w:ascii="Arial" w:hAnsi="Arial"/>
                <w:sz w:val="22"/>
                <w:szCs w:val="22"/>
              </w:rPr>
            </w:pPr>
            <w:r>
              <w:rPr>
                <w:rFonts w:ascii="Arial" w:hAnsi="Arial"/>
                <w:sz w:val="22"/>
                <w:szCs w:val="22"/>
              </w:rPr>
            </w:r>
          </w:p>
        </w:tc>
        <w:tc>
          <w:tcPr>
            <w:tcW w:w="7020" w:type="dxa"/>
            <w:gridSpan w:val="3"/>
            <w:tcBorders/>
          </w:tcPr>
          <w:p>
            <w:pPr>
              <w:pStyle w:val="Normal"/>
              <w:widowControl w:val="false"/>
              <w:numPr>
                <w:ilvl w:val="1"/>
                <w:numId w:val="13"/>
              </w:numPr>
              <w:tabs>
                <w:tab w:val="clear" w:pos="720"/>
                <w:tab w:val="left" w:pos="567" w:leader="none"/>
              </w:tabs>
              <w:spacing w:before="120" w:after="120"/>
              <w:ind w:left="585" w:hanging="576"/>
              <w:jc w:val="both"/>
              <w:rPr>
                <w:rFonts w:ascii="Arial" w:hAnsi="Arial" w:cs="Arial"/>
                <w:sz w:val="22"/>
                <w:szCs w:val="22"/>
                <w:lang w:val="en-GB"/>
              </w:rPr>
            </w:pPr>
            <w:r>
              <w:rPr>
                <w:rFonts w:cs="Arial" w:ascii="Arial" w:hAnsi="Arial"/>
                <w:sz w:val="22"/>
                <w:szCs w:val="22"/>
                <w:lang w:val="en-GB"/>
              </w:rPr>
              <w:t>The successful Tenderer shall be required to complete the delivery of the Goods and related services as specified in the General Conditions of Contract.</w:t>
            </w:r>
          </w:p>
        </w:tc>
      </w:tr>
      <w:tr>
        <w:trPr>
          <w:trHeight w:val="3528" w:hRule="atLeast"/>
        </w:trPr>
        <w:tc>
          <w:tcPr>
            <w:tcW w:w="2222" w:type="dxa"/>
            <w:tcBorders/>
            <w:shd w:color="auto" w:fill="auto" w:val="clear"/>
          </w:tcPr>
          <w:p>
            <w:pPr>
              <w:pStyle w:val="Normal"/>
              <w:widowControl w:val="false"/>
              <w:numPr>
                <w:ilvl w:val="0"/>
                <w:numId w:val="31"/>
              </w:numPr>
              <w:spacing w:before="120" w:after="0"/>
              <w:ind w:left="360" w:right="-108" w:hanging="351"/>
              <w:outlineLvl w:val="2"/>
              <w:rPr>
                <w:rStyle w:val="Heading3Char"/>
                <w:rFonts w:ascii="Arial" w:hAnsi="Arial"/>
                <w:b/>
                <w:b/>
                <w:bCs w:val="false"/>
                <w:sz w:val="22"/>
                <w:szCs w:val="22"/>
              </w:rPr>
            </w:pPr>
            <w:bookmarkStart w:id="20" w:name="_Toc421454188"/>
            <w:r>
              <w:rPr>
                <w:rStyle w:val="Heading3Char"/>
                <w:rFonts w:ascii="Arial" w:hAnsi="Arial"/>
                <w:b/>
                <w:bCs w:val="false"/>
                <w:sz w:val="22"/>
                <w:szCs w:val="22"/>
              </w:rPr>
              <w:t>Interpretation</w:t>
            </w:r>
            <w:bookmarkEnd w:id="20"/>
          </w:p>
        </w:tc>
        <w:tc>
          <w:tcPr>
            <w:tcW w:w="7020" w:type="dxa"/>
            <w:gridSpan w:val="3"/>
            <w:tcBorders/>
          </w:tcPr>
          <w:p>
            <w:pPr>
              <w:pStyle w:val="Normal"/>
              <w:widowControl w:val="false"/>
              <w:numPr>
                <w:ilvl w:val="0"/>
                <w:numId w:val="37"/>
              </w:numPr>
              <w:tabs>
                <w:tab w:val="clear" w:pos="720"/>
                <w:tab w:val="left" w:pos="567" w:leader="none"/>
              </w:tabs>
              <w:spacing w:before="120" w:after="120"/>
              <w:ind w:left="585" w:hanging="576"/>
              <w:jc w:val="both"/>
              <w:rPr>
                <w:rFonts w:ascii="Arial" w:hAnsi="Arial" w:cs="Arial"/>
                <w:sz w:val="22"/>
                <w:szCs w:val="22"/>
                <w:lang w:val="en-GB"/>
              </w:rPr>
            </w:pPr>
            <w:r>
              <w:rPr>
                <w:rFonts w:cs="Arial" w:ascii="Arial" w:hAnsi="Arial"/>
                <w:sz w:val="22"/>
                <w:szCs w:val="22"/>
                <w:lang w:val="en-GB"/>
              </w:rPr>
              <w:t>Throughout this Tender Document</w:t>
            </w:r>
          </w:p>
          <w:p>
            <w:pPr>
              <w:pStyle w:val="SubClauseText"/>
              <w:widowControl w:val="false"/>
              <w:numPr>
                <w:ilvl w:val="0"/>
                <w:numId w:val="34"/>
              </w:numPr>
              <w:tabs>
                <w:tab w:val="clear" w:pos="720"/>
                <w:tab w:val="left" w:pos="1134" w:leader="none"/>
              </w:tabs>
              <w:spacing w:before="60" w:after="60"/>
              <w:ind w:left="1134" w:hanging="324"/>
              <w:jc w:val="left"/>
              <w:rPr>
                <w:rFonts w:ascii="Arial" w:hAnsi="Arial" w:cs="Arial"/>
                <w:sz w:val="22"/>
                <w:szCs w:val="22"/>
                <w:lang w:val="en-GB"/>
              </w:rPr>
            </w:pPr>
            <w:bookmarkStart w:id="21" w:name="_Toc49406234"/>
            <w:bookmarkEnd w:id="21"/>
            <w:r>
              <w:rPr>
                <w:rFonts w:cs="Arial" w:ascii="Arial" w:hAnsi="Arial"/>
                <w:sz w:val="22"/>
                <w:szCs w:val="22"/>
                <w:lang w:val="en-GB"/>
              </w:rPr>
              <w:t>the term “in writing” means communication written by hand or machine duly signed and includes properly authenticated messages by facsimile or electronic mail;</w:t>
            </w:r>
          </w:p>
          <w:p>
            <w:pPr>
              <w:pStyle w:val="SubClauseText"/>
              <w:widowControl w:val="false"/>
              <w:numPr>
                <w:ilvl w:val="0"/>
                <w:numId w:val="34"/>
              </w:numPr>
              <w:tabs>
                <w:tab w:val="clear" w:pos="720"/>
                <w:tab w:val="left" w:pos="1134" w:leader="none"/>
              </w:tabs>
              <w:spacing w:before="60" w:after="60"/>
              <w:ind w:left="1134" w:hanging="324"/>
              <w:jc w:val="left"/>
              <w:rPr>
                <w:rFonts w:ascii="Arial" w:hAnsi="Arial" w:cs="Arial"/>
                <w:sz w:val="22"/>
                <w:szCs w:val="22"/>
                <w:lang w:val="en-GB"/>
              </w:rPr>
            </w:pPr>
            <w:bookmarkStart w:id="22" w:name="_Toc49406235"/>
            <w:bookmarkStart w:id="23" w:name="_Toc494062341"/>
            <w:bookmarkEnd w:id="23"/>
            <w:r>
              <w:rPr>
                <w:rFonts w:cs="Arial" w:ascii="Arial" w:hAnsi="Arial"/>
                <w:sz w:val="22"/>
                <w:szCs w:val="22"/>
                <w:lang w:val="en-GB"/>
              </w:rPr>
              <w:t>if the context so requires, singular means plural and vice versa; and</w:t>
            </w:r>
            <w:bookmarkStart w:id="24" w:name="_Toc49406236"/>
            <w:bookmarkEnd w:id="22"/>
          </w:p>
          <w:p>
            <w:pPr>
              <w:pStyle w:val="SubClauseText"/>
              <w:widowControl w:val="false"/>
              <w:numPr>
                <w:ilvl w:val="0"/>
                <w:numId w:val="34"/>
              </w:numPr>
              <w:tabs>
                <w:tab w:val="clear" w:pos="720"/>
                <w:tab w:val="left" w:pos="1134" w:leader="none"/>
              </w:tabs>
              <w:spacing w:before="60" w:after="60"/>
              <w:ind w:left="1134" w:hanging="324"/>
              <w:jc w:val="left"/>
              <w:rPr>
                <w:rFonts w:ascii="Arial" w:hAnsi="Arial" w:cs="Arial"/>
                <w:sz w:val="22"/>
                <w:szCs w:val="22"/>
                <w:lang w:val="en-GB"/>
              </w:rPr>
            </w:pPr>
            <w:r>
              <w:rPr>
                <w:rFonts w:cs="Arial" w:ascii="Arial" w:hAnsi="Arial"/>
                <w:sz w:val="22"/>
                <w:szCs w:val="22"/>
                <w:lang w:val="en-GB"/>
              </w:rPr>
              <w:t>“</w:t>
            </w:r>
            <w:r>
              <w:rPr>
                <w:rFonts w:cs="Arial" w:ascii="Arial" w:hAnsi="Arial"/>
                <w:sz w:val="22"/>
                <w:szCs w:val="22"/>
                <w:lang w:val="en-GB"/>
              </w:rPr>
              <w:t>day” means calendar days unless otherwise specified as working days</w:t>
            </w:r>
            <w:bookmarkEnd w:id="24"/>
            <w:r>
              <w:rPr>
                <w:rFonts w:cs="Arial" w:ascii="Arial" w:hAnsi="Arial"/>
                <w:sz w:val="22"/>
                <w:szCs w:val="22"/>
                <w:lang w:val="en-GB"/>
              </w:rPr>
              <w:t>;</w:t>
            </w:r>
          </w:p>
          <w:p>
            <w:pPr>
              <w:pStyle w:val="SubClauseText"/>
              <w:widowControl w:val="false"/>
              <w:numPr>
                <w:ilvl w:val="0"/>
                <w:numId w:val="34"/>
              </w:numPr>
              <w:tabs>
                <w:tab w:val="clear" w:pos="720"/>
                <w:tab w:val="left" w:pos="1134" w:leader="none"/>
                <w:tab w:val="left" w:pos="1298" w:leader="none"/>
              </w:tabs>
              <w:spacing w:before="60" w:after="60"/>
              <w:ind w:left="1134" w:hanging="324"/>
              <w:jc w:val="left"/>
              <w:rPr>
                <w:rFonts w:ascii="Arial" w:hAnsi="Arial" w:cs="Arial"/>
                <w:sz w:val="22"/>
                <w:szCs w:val="22"/>
                <w:lang w:val="en-GB"/>
              </w:rPr>
            </w:pPr>
            <w:r>
              <w:rPr>
                <w:rFonts w:cs="Arial" w:ascii="Arial" w:hAnsi="Arial"/>
                <w:sz w:val="22"/>
                <w:szCs w:val="22"/>
                <w:lang w:val="en-GB"/>
              </w:rPr>
              <w:t>“</w:t>
            </w:r>
            <w:r>
              <w:rPr>
                <w:rFonts w:cs="Arial" w:ascii="Arial" w:hAnsi="Arial"/>
                <w:sz w:val="22"/>
                <w:szCs w:val="22"/>
                <w:lang w:val="en-GB"/>
              </w:rPr>
              <w:t>Person” means and includes an individual, body of individuals, sole proprietorship, partnership, company, association or cooperative society thatwishes to participate in Procurement proceedings;</w:t>
            </w:r>
          </w:p>
          <w:p>
            <w:pPr>
              <w:pStyle w:val="SubClauseText"/>
              <w:widowControl w:val="false"/>
              <w:numPr>
                <w:ilvl w:val="0"/>
                <w:numId w:val="34"/>
              </w:numPr>
              <w:tabs>
                <w:tab w:val="clear" w:pos="720"/>
                <w:tab w:val="left" w:pos="1134" w:leader="none"/>
                <w:tab w:val="left" w:pos="1298" w:leader="none"/>
              </w:tabs>
              <w:spacing w:before="60" w:after="60"/>
              <w:ind w:left="1134" w:hanging="324"/>
              <w:jc w:val="left"/>
              <w:rPr>
                <w:rFonts w:ascii="Arial" w:hAnsi="Arial" w:cs="Arial"/>
                <w:sz w:val="22"/>
                <w:szCs w:val="22"/>
                <w:lang w:val="en-GB"/>
              </w:rPr>
            </w:pPr>
            <w:r>
              <w:rPr>
                <w:rFonts w:cs="Arial" w:ascii="Arial" w:hAnsi="Arial"/>
                <w:sz w:val="22"/>
                <w:szCs w:val="22"/>
                <w:lang w:val="en-GB"/>
              </w:rPr>
              <w:t>“</w:t>
            </w:r>
            <w:r>
              <w:rPr>
                <w:rFonts w:cs="Arial" w:ascii="Arial" w:hAnsi="Arial"/>
                <w:sz w:val="22"/>
                <w:szCs w:val="22"/>
                <w:lang w:val="en-GB"/>
              </w:rPr>
              <w:t xml:space="preserve">Tenderer” means </w:t>
            </w:r>
            <w:r>
              <w:rPr>
                <w:rFonts w:cs="Arial" w:ascii="Arial" w:hAnsi="Arial"/>
                <w:sz w:val="21"/>
                <w:szCs w:val="21"/>
              </w:rPr>
              <w:t>a Person who submits a Tender;</w:t>
            </w:r>
          </w:p>
          <w:p>
            <w:pPr>
              <w:pStyle w:val="SubClauseText"/>
              <w:widowControl w:val="false"/>
              <w:numPr>
                <w:ilvl w:val="0"/>
                <w:numId w:val="34"/>
              </w:numPr>
              <w:tabs>
                <w:tab w:val="clear" w:pos="720"/>
                <w:tab w:val="left" w:pos="1134" w:leader="none"/>
              </w:tabs>
              <w:spacing w:before="60" w:after="60"/>
              <w:ind w:left="1134" w:hanging="387"/>
              <w:jc w:val="left"/>
              <w:rPr>
                <w:rFonts w:ascii="Arial" w:hAnsi="Arial" w:cs="Arial"/>
                <w:sz w:val="22"/>
                <w:szCs w:val="22"/>
                <w:lang w:val="en-GB"/>
              </w:rPr>
            </w:pPr>
            <w:r>
              <w:rPr>
                <w:rFonts w:cs="Arial" w:ascii="Arial" w:hAnsi="Arial"/>
                <w:sz w:val="22"/>
                <w:szCs w:val="22"/>
                <w:lang w:val="en-GB"/>
              </w:rPr>
              <w:t>"Tender Document ", means the Document provided by the Procuring Entity to a Tenderer  as a basis for preparation of its Tender;</w:t>
            </w:r>
          </w:p>
          <w:p>
            <w:pPr>
              <w:pStyle w:val="SubClauseText"/>
              <w:widowControl w:val="false"/>
              <w:numPr>
                <w:ilvl w:val="0"/>
                <w:numId w:val="34"/>
              </w:numPr>
              <w:tabs>
                <w:tab w:val="clear" w:pos="720"/>
                <w:tab w:val="left" w:pos="1134" w:leader="none"/>
              </w:tabs>
              <w:spacing w:before="60" w:after="60"/>
              <w:ind w:left="1134" w:hanging="324"/>
              <w:jc w:val="left"/>
              <w:rPr>
                <w:rFonts w:ascii="Arial" w:hAnsi="Arial" w:cs="Arial"/>
                <w:sz w:val="22"/>
                <w:szCs w:val="22"/>
                <w:lang w:val="en-GB"/>
              </w:rPr>
            </w:pPr>
            <w:r>
              <w:rPr>
                <w:rFonts w:cs="Arial" w:ascii="Arial" w:hAnsi="Arial"/>
                <w:sz w:val="22"/>
                <w:szCs w:val="22"/>
                <w:lang w:val="en-GB"/>
              </w:rPr>
              <w:t>"Tender", depending on the context, means a Tender  submitted by a Tenderer for delivery of Goods and Related Services to the Procuring Entity in response to an Invitation for Tender ;</w:t>
            </w:r>
          </w:p>
        </w:tc>
      </w:tr>
      <w:tr>
        <w:trPr/>
        <w:tc>
          <w:tcPr>
            <w:tcW w:w="2222" w:type="dxa"/>
            <w:vMerge w:val="restart"/>
            <w:tcBorders/>
            <w:shd w:color="auto" w:fill="auto" w:val="clear"/>
          </w:tcPr>
          <w:p>
            <w:pPr>
              <w:pStyle w:val="Normal"/>
              <w:widowControl w:val="false"/>
              <w:numPr>
                <w:ilvl w:val="0"/>
                <w:numId w:val="31"/>
              </w:numPr>
              <w:spacing w:before="120" w:after="0"/>
              <w:ind w:left="360" w:hanging="351"/>
              <w:outlineLvl w:val="2"/>
              <w:rPr>
                <w:rFonts w:ascii="Arial" w:hAnsi="Arial" w:cs="Arial"/>
                <w:b/>
                <w:b/>
                <w:sz w:val="22"/>
                <w:szCs w:val="22"/>
                <w:lang w:val="en-GB"/>
              </w:rPr>
            </w:pPr>
            <w:bookmarkStart w:id="25" w:name="_Toc49504621"/>
            <w:bookmarkStart w:id="26" w:name="_Toc438907006"/>
            <w:bookmarkStart w:id="27" w:name="_Toc438907205"/>
            <w:bookmarkStart w:id="28" w:name="_Toc49591667"/>
            <w:bookmarkStart w:id="29" w:name="_Toc49591319"/>
            <w:bookmarkStart w:id="30" w:name="_Toc49569757"/>
            <w:bookmarkStart w:id="31" w:name="_Toc438733965"/>
            <w:bookmarkStart w:id="32" w:name="_Toc49504187"/>
            <w:bookmarkStart w:id="33" w:name="_Toc438532556"/>
            <w:bookmarkStart w:id="34" w:name="_Toc421454189"/>
            <w:bookmarkStart w:id="35" w:name="_Toc37047275"/>
            <w:bookmarkStart w:id="36" w:name="_Toc438438821"/>
            <w:bookmarkStart w:id="37" w:name="_Toc49504740"/>
            <w:r>
              <w:rPr>
                <w:rStyle w:val="Heading3Char"/>
                <w:rFonts w:ascii="Arial" w:hAnsi="Arial"/>
                <w:b/>
                <w:bCs w:val="false"/>
                <w:sz w:val="22"/>
                <w:szCs w:val="22"/>
              </w:rPr>
              <w:t>Source of Funds</w:t>
            </w:r>
            <w:bookmarkEnd w:id="25"/>
            <w:bookmarkEnd w:id="26"/>
            <w:bookmarkEnd w:id="27"/>
            <w:bookmarkEnd w:id="28"/>
            <w:bookmarkEnd w:id="29"/>
            <w:bookmarkEnd w:id="30"/>
            <w:bookmarkEnd w:id="31"/>
            <w:bookmarkEnd w:id="32"/>
            <w:bookmarkEnd w:id="33"/>
            <w:bookmarkEnd w:id="34"/>
            <w:bookmarkEnd w:id="35"/>
            <w:bookmarkEnd w:id="36"/>
            <w:bookmarkEnd w:id="37"/>
          </w:p>
        </w:tc>
        <w:tc>
          <w:tcPr>
            <w:tcW w:w="7020" w:type="dxa"/>
            <w:gridSpan w:val="3"/>
            <w:tcBorders/>
          </w:tcPr>
          <w:p>
            <w:pPr>
              <w:pStyle w:val="Normal"/>
              <w:widowControl w:val="false"/>
              <w:numPr>
                <w:ilvl w:val="1"/>
                <w:numId w:val="14"/>
              </w:numPr>
              <w:tabs>
                <w:tab w:val="clear" w:pos="720"/>
                <w:tab w:val="left" w:pos="567" w:leader="none"/>
              </w:tabs>
              <w:spacing w:before="120" w:after="120"/>
              <w:ind w:left="585" w:hanging="576"/>
              <w:jc w:val="both"/>
              <w:rPr>
                <w:rFonts w:ascii="Arial" w:hAnsi="Arial" w:cs="Arial"/>
                <w:sz w:val="22"/>
                <w:szCs w:val="22"/>
                <w:lang w:val="en-GB"/>
              </w:rPr>
            </w:pPr>
            <w:r>
              <w:rPr>
                <w:rFonts w:cs="Arial" w:ascii="Arial" w:hAnsi="Arial"/>
                <w:sz w:val="22"/>
                <w:szCs w:val="22"/>
                <w:lang w:val="en-GB"/>
              </w:rPr>
              <w:t xml:space="preserve">The Procuring Entity has been allocated public funds from the source as indicated in the </w:t>
            </w:r>
            <w:r>
              <w:rPr>
                <w:rFonts w:cs="Arial" w:ascii="Arial" w:hAnsi="Arial"/>
                <w:b/>
                <w:sz w:val="22"/>
                <w:szCs w:val="22"/>
                <w:lang w:val="en-GB"/>
              </w:rPr>
              <w:t>TDS</w:t>
            </w:r>
            <w:r>
              <w:rPr>
                <w:rFonts w:cs="Arial" w:ascii="Arial" w:hAnsi="Arial"/>
                <w:sz w:val="22"/>
                <w:szCs w:val="22"/>
                <w:lang w:val="en-GB"/>
              </w:rPr>
              <w:t xml:space="preserve"> and intends to apply a portion of the funds to eligible payments under the contract for which this Tender Document is issued.</w:t>
            </w:r>
          </w:p>
        </w:tc>
      </w:tr>
      <w:tr>
        <w:trPr/>
        <w:tc>
          <w:tcPr>
            <w:tcW w:w="2222" w:type="dxa"/>
            <w:vMerge w:val="continue"/>
            <w:tcBorders/>
            <w:shd w:color="auto" w:fill="auto" w:val="clear"/>
          </w:tcPr>
          <w:p>
            <w:pPr>
              <w:pStyle w:val="Normal"/>
              <w:widowControl w:val="false"/>
              <w:spacing w:before="120" w:after="120"/>
              <w:ind w:left="432" w:hanging="432"/>
              <w:rPr>
                <w:rFonts w:ascii="Arial" w:hAnsi="Arial" w:cs="Arial"/>
                <w:sz w:val="22"/>
                <w:szCs w:val="22"/>
                <w:lang w:val="en-GB"/>
              </w:rPr>
            </w:pPr>
            <w:r>
              <w:rPr>
                <w:rFonts w:cs="Arial" w:ascii="Arial" w:hAnsi="Arial"/>
                <w:sz w:val="22"/>
                <w:szCs w:val="22"/>
                <w:lang w:val="en-GB"/>
              </w:rPr>
            </w:r>
          </w:p>
        </w:tc>
        <w:tc>
          <w:tcPr>
            <w:tcW w:w="7020" w:type="dxa"/>
            <w:gridSpan w:val="3"/>
            <w:tcBorders/>
          </w:tcPr>
          <w:p>
            <w:pPr>
              <w:pStyle w:val="Normal"/>
              <w:widowControl w:val="false"/>
              <w:numPr>
                <w:ilvl w:val="1"/>
                <w:numId w:val="14"/>
              </w:numPr>
              <w:tabs>
                <w:tab w:val="clear" w:pos="720"/>
                <w:tab w:val="left" w:pos="567" w:leader="none"/>
              </w:tabs>
              <w:spacing w:before="120" w:after="120"/>
              <w:ind w:left="585" w:hanging="576"/>
              <w:jc w:val="both"/>
              <w:rPr>
                <w:rFonts w:ascii="Arial" w:hAnsi="Arial" w:cs="Arial"/>
                <w:sz w:val="22"/>
                <w:szCs w:val="22"/>
                <w:lang w:val="en-GB"/>
              </w:rPr>
            </w:pPr>
            <w:r>
              <w:rPr>
                <w:rFonts w:cs="Arial" w:ascii="Arial" w:hAnsi="Arial"/>
                <w:sz w:val="22"/>
                <w:szCs w:val="22"/>
                <w:lang w:val="en-GB"/>
              </w:rPr>
              <w:t>For the purpose of this provision, “public funds” means any funds allocated to the Procuring Entity under Government budget, or loan, grants and credits placed at the disposal of the Procuring Entity through the Government by the Development Partners or foreign states or organizations.</w:t>
            </w:r>
          </w:p>
        </w:tc>
      </w:tr>
      <w:tr>
        <w:trPr/>
        <w:tc>
          <w:tcPr>
            <w:tcW w:w="2222" w:type="dxa"/>
            <w:vMerge w:val="continue"/>
            <w:tcBorders/>
            <w:shd w:color="auto" w:fill="auto" w:val="clear"/>
          </w:tcPr>
          <w:p>
            <w:pPr>
              <w:pStyle w:val="Normal"/>
              <w:widowControl w:val="false"/>
              <w:spacing w:before="120" w:after="120"/>
              <w:ind w:left="432" w:hanging="432"/>
              <w:rPr>
                <w:rFonts w:ascii="Arial" w:hAnsi="Arial" w:cs="Arial"/>
                <w:sz w:val="22"/>
                <w:szCs w:val="22"/>
                <w:lang w:val="en-GB"/>
              </w:rPr>
            </w:pPr>
            <w:r>
              <w:rPr>
                <w:rFonts w:cs="Arial" w:ascii="Arial" w:hAnsi="Arial"/>
                <w:sz w:val="22"/>
                <w:szCs w:val="22"/>
                <w:lang w:val="en-GB"/>
              </w:rPr>
            </w:r>
          </w:p>
        </w:tc>
        <w:tc>
          <w:tcPr>
            <w:tcW w:w="7020" w:type="dxa"/>
            <w:gridSpan w:val="3"/>
            <w:tcBorders/>
          </w:tcPr>
          <w:p>
            <w:pPr>
              <w:pStyle w:val="Normal"/>
              <w:widowControl w:val="false"/>
              <w:numPr>
                <w:ilvl w:val="1"/>
                <w:numId w:val="14"/>
              </w:numPr>
              <w:tabs>
                <w:tab w:val="clear" w:pos="720"/>
                <w:tab w:val="left" w:pos="567" w:leader="none"/>
              </w:tabs>
              <w:spacing w:before="120" w:after="120"/>
              <w:ind w:left="585" w:hanging="576"/>
              <w:jc w:val="both"/>
              <w:rPr>
                <w:rFonts w:ascii="Arial" w:hAnsi="Arial" w:cs="Arial"/>
                <w:sz w:val="22"/>
                <w:szCs w:val="22"/>
                <w:lang w:val="en-GB"/>
              </w:rPr>
            </w:pPr>
            <w:r>
              <w:rPr>
                <w:rFonts w:cs="Arial" w:ascii="Arial" w:hAnsi="Arial"/>
                <w:sz w:val="22"/>
                <w:szCs w:val="22"/>
                <w:lang w:val="en-GB"/>
              </w:rPr>
              <w:t xml:space="preserve">Payments by the Development Partner, if so indicated in the </w:t>
            </w:r>
            <w:r>
              <w:rPr>
                <w:rFonts w:cs="Arial" w:ascii="Arial" w:hAnsi="Arial"/>
                <w:b/>
                <w:sz w:val="22"/>
                <w:szCs w:val="22"/>
                <w:lang w:val="en-GB"/>
              </w:rPr>
              <w:t>TDS</w:t>
            </w:r>
            <w:r>
              <w:rPr>
                <w:rFonts w:cs="Arial" w:ascii="Arial" w:hAnsi="Arial"/>
                <w:sz w:val="22"/>
                <w:szCs w:val="22"/>
                <w:lang w:val="en-GB"/>
              </w:rPr>
              <w:t>, will be made only at the request of the Government and upon approval by the Development Partner in accordance with the applicable Loan/Credit/Grant Agreement, and will be subject in all respects to the terms and conditions of that Agreement.</w:t>
            </w:r>
          </w:p>
        </w:tc>
      </w:tr>
      <w:tr>
        <w:trPr>
          <w:trHeight w:val="1080" w:hRule="atLeast"/>
        </w:trPr>
        <w:tc>
          <w:tcPr>
            <w:tcW w:w="2222" w:type="dxa"/>
            <w:tcBorders/>
            <w:shd w:color="auto" w:fill="auto" w:val="clear"/>
          </w:tcPr>
          <w:p>
            <w:pPr>
              <w:pStyle w:val="Normal"/>
              <w:widowControl w:val="false"/>
              <w:numPr>
                <w:ilvl w:val="0"/>
                <w:numId w:val="31"/>
              </w:numPr>
              <w:spacing w:before="80" w:after="80"/>
              <w:ind w:left="360" w:hanging="346"/>
              <w:outlineLvl w:val="2"/>
              <w:rPr>
                <w:rFonts w:ascii="Arial" w:hAnsi="Arial" w:cs="Arial"/>
                <w:b/>
                <w:b/>
                <w:sz w:val="22"/>
                <w:szCs w:val="22"/>
                <w:lang w:val="en-GB"/>
              </w:rPr>
            </w:pPr>
            <w:bookmarkStart w:id="38" w:name="_Toc49504741"/>
            <w:bookmarkStart w:id="39" w:name="_Toc49504188"/>
            <w:bookmarkStart w:id="40" w:name="_Toc49504622"/>
            <w:bookmarkStart w:id="41" w:name="_Toc438532558"/>
            <w:bookmarkStart w:id="42" w:name="_Toc49591668"/>
            <w:bookmarkStart w:id="43" w:name="_Toc421454190"/>
            <w:bookmarkStart w:id="44" w:name="_Toc49569758"/>
            <w:bookmarkStart w:id="45" w:name="_Toc49591320"/>
            <w:bookmarkEnd w:id="41"/>
            <w:r>
              <w:rPr>
                <w:rStyle w:val="Heading3Char"/>
                <w:rFonts w:ascii="Arial" w:hAnsi="Arial"/>
                <w:b/>
                <w:bCs w:val="false"/>
                <w:sz w:val="22"/>
                <w:szCs w:val="22"/>
              </w:rPr>
              <w:t xml:space="preserve">Corrupt, Fraudulent, Collusive, Coercive (or Obstructive in case of Development </w:t>
            </w:r>
            <w:bookmarkEnd w:id="38"/>
            <w:bookmarkEnd w:id="39"/>
            <w:bookmarkEnd w:id="40"/>
            <w:bookmarkEnd w:id="42"/>
            <w:bookmarkEnd w:id="43"/>
            <w:bookmarkEnd w:id="44"/>
            <w:bookmarkEnd w:id="45"/>
            <w:r>
              <w:rPr>
                <w:rStyle w:val="Heading3Char"/>
                <w:rFonts w:ascii="Arial" w:hAnsi="Arial"/>
                <w:b/>
                <w:bCs w:val="false"/>
                <w:sz w:val="22"/>
                <w:szCs w:val="22"/>
              </w:rPr>
              <w:t>Partner) Practices</w:t>
            </w:r>
          </w:p>
        </w:tc>
        <w:tc>
          <w:tcPr>
            <w:tcW w:w="7020" w:type="dxa"/>
            <w:gridSpan w:val="3"/>
            <w:tcBorders/>
          </w:tcPr>
          <w:p>
            <w:pPr>
              <w:pStyle w:val="SubClauseText"/>
              <w:widowControl w:val="false"/>
              <w:numPr>
                <w:ilvl w:val="0"/>
                <w:numId w:val="99"/>
              </w:numPr>
              <w:spacing w:before="120" w:after="120"/>
              <w:rPr>
                <w:rFonts w:ascii="Arial" w:hAnsi="Arial" w:cs="Arial"/>
                <w:sz w:val="22"/>
                <w:szCs w:val="22"/>
              </w:rPr>
            </w:pPr>
            <w:r>
              <w:rPr>
                <w:rFonts w:cs="Arial" w:ascii="Arial" w:hAnsi="Arial"/>
                <w:sz w:val="22"/>
                <w:szCs w:val="22"/>
              </w:rPr>
              <w:t xml:space="preserve">The Government </w:t>
            </w:r>
            <w:r>
              <w:rPr>
                <w:rFonts w:eastAsia="SimSun" w:cs="Arial" w:ascii="Arial" w:hAnsi="Arial"/>
                <w:spacing w:val="0"/>
                <w:sz w:val="22"/>
                <w:szCs w:val="22"/>
                <w:lang w:val="en-GB" w:eastAsia="zh-CN"/>
              </w:rPr>
              <w:t xml:space="preserve">and the Development Partner, if applicable </w:t>
            </w:r>
            <w:r>
              <w:rPr>
                <w:rFonts w:cs="Arial" w:ascii="Arial" w:hAnsi="Arial"/>
                <w:sz w:val="22"/>
                <w:szCs w:val="22"/>
              </w:rPr>
              <w:t>requires that the Procuring Entity as well as the Tenderer sand Suppliers (including their manufacturers, sub-contractors, agents, personnel, consultants, and service providers) shall observe the highest standard of ethics during implementation of procurement proceedings and the execution of Contracts under public funds.</w:t>
            </w:r>
          </w:p>
          <w:p>
            <w:pPr>
              <w:pStyle w:val="SubClauseText"/>
              <w:widowControl w:val="false"/>
              <w:numPr>
                <w:ilvl w:val="0"/>
                <w:numId w:val="99"/>
              </w:numPr>
              <w:rPr>
                <w:rFonts w:ascii="Arial" w:hAnsi="Arial" w:cs="Arial"/>
                <w:sz w:val="22"/>
                <w:szCs w:val="22"/>
                <w:lang w:val="en-GB"/>
              </w:rPr>
            </w:pPr>
            <w:r>
              <w:rPr>
                <w:rFonts w:cs="Arial" w:ascii="Arial" w:hAnsi="Arial"/>
                <w:sz w:val="22"/>
                <w:szCs w:val="22"/>
                <w:lang w:val="en-GB"/>
              </w:rPr>
              <w:t>For the purposes of ITT Sub Clause 4.3, the terms set forth below as follows:</w:t>
            </w:r>
          </w:p>
          <w:p>
            <w:pPr>
              <w:pStyle w:val="Normal"/>
              <w:widowControl w:val="false"/>
              <w:numPr>
                <w:ilvl w:val="0"/>
                <w:numId w:val="99"/>
              </w:numPr>
              <w:spacing w:before="240" w:after="40"/>
              <w:jc w:val="both"/>
              <w:rPr>
                <w:rFonts w:ascii="Arial" w:hAnsi="Arial" w:eastAsia="Times New Roman" w:cs="Arial"/>
                <w:spacing w:val="-4"/>
                <w:sz w:val="22"/>
                <w:szCs w:val="22"/>
                <w:lang w:val="en-GB" w:eastAsia="en-US"/>
              </w:rPr>
            </w:pPr>
            <w:r>
              <w:rPr>
                <w:rFonts w:cs="Arial" w:ascii="Arial" w:hAnsi="Arial"/>
                <w:b/>
                <w:sz w:val="22"/>
                <w:szCs w:val="22"/>
                <w:lang w:val="en-GB"/>
              </w:rPr>
              <w:t>“</w:t>
            </w:r>
            <w:r>
              <w:rPr>
                <w:rFonts w:cs="Arial" w:ascii="Arial" w:hAnsi="Arial"/>
                <w:b/>
                <w:sz w:val="22"/>
                <w:szCs w:val="22"/>
                <w:lang w:val="en-GB"/>
              </w:rPr>
              <w:t>corrupt practice”</w:t>
            </w:r>
            <w:r>
              <w:rPr>
                <w:rFonts w:cs="Arial" w:ascii="Arial" w:hAnsi="Arial"/>
                <w:sz w:val="22"/>
                <w:szCs w:val="22"/>
                <w:lang w:val="en-GB"/>
              </w:rPr>
              <w:t xml:space="preserve"> means offering, giving or promising to give, receiving, or soliciting either directly or indirectly, to any officer or employee of the Procuring Entity or other public</w:t>
            </w:r>
            <w:r>
              <w:rPr>
                <w:rFonts w:eastAsia="Times New Roman" w:cs="Arial" w:ascii="Arial" w:hAnsi="Arial"/>
                <w:spacing w:val="-4"/>
                <w:sz w:val="22"/>
                <w:szCs w:val="22"/>
                <w:lang w:val="en-GB" w:eastAsia="en-US"/>
              </w:rPr>
              <w:t xml:space="preserve"> or private authority or individual, a gratuity in any form; employment or any other thing or service of value as an inducement with respect to an act or decision or method followed by the Procuring Entity in connection with a Procurement proceeding or Contract execution;</w:t>
            </w:r>
          </w:p>
          <w:p>
            <w:pPr>
              <w:pStyle w:val="Normal"/>
              <w:widowControl w:val="false"/>
              <w:tabs>
                <w:tab w:val="clear" w:pos="720"/>
                <w:tab w:val="left" w:pos="1361" w:leader="none"/>
              </w:tabs>
              <w:spacing w:before="40" w:after="40"/>
              <w:ind w:left="655" w:hanging="0"/>
              <w:jc w:val="both"/>
              <w:rPr>
                <w:rFonts w:ascii="Arial" w:hAnsi="Arial" w:eastAsia="Times New Roman" w:cs="Arial"/>
                <w:spacing w:val="-4"/>
                <w:sz w:val="12"/>
                <w:szCs w:val="22"/>
                <w:lang w:val="en-GB" w:eastAsia="en-US"/>
              </w:rPr>
            </w:pPr>
            <w:r>
              <w:rPr>
                <w:rFonts w:eastAsia="Times New Roman" w:cs="Arial" w:ascii="Arial" w:hAnsi="Arial"/>
                <w:spacing w:val="-4"/>
                <w:sz w:val="12"/>
                <w:szCs w:val="22"/>
                <w:lang w:val="en-GB" w:eastAsia="en-US"/>
              </w:rPr>
            </w:r>
          </w:p>
          <w:p>
            <w:pPr>
              <w:pStyle w:val="Normal"/>
              <w:widowControl w:val="false"/>
              <w:numPr>
                <w:ilvl w:val="0"/>
                <w:numId w:val="99"/>
              </w:numPr>
              <w:spacing w:before="40" w:after="40"/>
              <w:jc w:val="both"/>
              <w:rPr>
                <w:rFonts w:ascii="Arial" w:hAnsi="Arial" w:eastAsia="Times New Roman" w:cs="Arial"/>
                <w:spacing w:val="-4"/>
                <w:sz w:val="22"/>
                <w:szCs w:val="22"/>
                <w:lang w:val="en-GB" w:eastAsia="en-US"/>
              </w:rPr>
            </w:pPr>
            <w:r>
              <w:rPr>
                <w:rFonts w:eastAsia="Times New Roman" w:cs="Arial" w:ascii="Arial" w:hAnsi="Arial"/>
                <w:b/>
                <w:spacing w:val="-4"/>
                <w:sz w:val="22"/>
                <w:szCs w:val="22"/>
                <w:lang w:val="en-GB" w:eastAsia="en-US"/>
              </w:rPr>
              <w:t>“</w:t>
            </w:r>
            <w:r>
              <w:rPr>
                <w:rFonts w:eastAsia="Times New Roman" w:cs="Arial" w:ascii="Arial" w:hAnsi="Arial"/>
                <w:b/>
                <w:spacing w:val="-4"/>
                <w:sz w:val="22"/>
                <w:szCs w:val="22"/>
                <w:lang w:val="en-GB" w:eastAsia="en-US"/>
              </w:rPr>
              <w:t>fraudulent practice”</w:t>
            </w:r>
            <w:r>
              <w:rPr>
                <w:rFonts w:eastAsia="Times New Roman" w:cs="Arial" w:ascii="Arial" w:hAnsi="Arial"/>
                <w:spacing w:val="-4"/>
                <w:sz w:val="22"/>
                <w:szCs w:val="22"/>
                <w:lang w:val="en-GB" w:eastAsia="en-US"/>
              </w:rPr>
              <w:t xml:space="preserve"> means   the misrepresentation or omission of facts in order to influence a decision to be taken in a Procurement proceeding or Contract execution;</w:t>
            </w:r>
          </w:p>
          <w:p>
            <w:pPr>
              <w:pStyle w:val="Normal"/>
              <w:widowControl w:val="false"/>
              <w:tabs>
                <w:tab w:val="clear" w:pos="720"/>
                <w:tab w:val="left" w:pos="1361" w:leader="none"/>
              </w:tabs>
              <w:spacing w:before="40" w:after="40"/>
              <w:ind w:left="655" w:hanging="0"/>
              <w:jc w:val="both"/>
              <w:rPr>
                <w:rFonts w:ascii="Arial" w:hAnsi="Arial" w:eastAsia="Times New Roman" w:cs="Arial"/>
                <w:spacing w:val="-4"/>
                <w:sz w:val="12"/>
                <w:szCs w:val="22"/>
                <w:lang w:val="en-GB" w:eastAsia="en-US"/>
              </w:rPr>
            </w:pPr>
            <w:r>
              <w:rPr>
                <w:rFonts w:eastAsia="Times New Roman" w:cs="Arial" w:ascii="Arial" w:hAnsi="Arial"/>
                <w:spacing w:val="-4"/>
                <w:sz w:val="12"/>
                <w:szCs w:val="22"/>
                <w:lang w:val="en-GB" w:eastAsia="en-US"/>
              </w:rPr>
            </w:r>
          </w:p>
          <w:p>
            <w:pPr>
              <w:pStyle w:val="Normal"/>
              <w:widowControl w:val="false"/>
              <w:numPr>
                <w:ilvl w:val="0"/>
                <w:numId w:val="99"/>
              </w:numPr>
              <w:spacing w:before="40" w:after="40"/>
              <w:jc w:val="both"/>
              <w:rPr>
                <w:rFonts w:ascii="Arial" w:hAnsi="Arial" w:eastAsia="Times New Roman" w:cs="Arial"/>
                <w:spacing w:val="-4"/>
                <w:sz w:val="22"/>
                <w:szCs w:val="22"/>
                <w:lang w:val="en-GB" w:eastAsia="en-US"/>
              </w:rPr>
            </w:pPr>
            <w:r>
              <w:rPr>
                <w:rFonts w:eastAsia="Times New Roman" w:cs="Arial" w:ascii="Arial" w:hAnsi="Arial"/>
                <w:b/>
                <w:spacing w:val="-4"/>
                <w:sz w:val="22"/>
                <w:szCs w:val="22"/>
                <w:lang w:val="en-GB" w:eastAsia="en-US"/>
              </w:rPr>
              <w:t>“</w:t>
            </w:r>
            <w:r>
              <w:rPr>
                <w:rFonts w:eastAsia="Times New Roman" w:cs="Arial" w:ascii="Arial" w:hAnsi="Arial"/>
                <w:b/>
                <w:spacing w:val="-4"/>
                <w:sz w:val="22"/>
                <w:szCs w:val="22"/>
                <w:lang w:val="en-GB" w:eastAsia="en-US"/>
              </w:rPr>
              <w:t>collusive practice”</w:t>
            </w:r>
            <w:r>
              <w:rPr>
                <w:rFonts w:eastAsia="Times New Roman" w:cs="Arial" w:ascii="Arial" w:hAnsi="Arial"/>
                <w:spacing w:val="-4"/>
                <w:sz w:val="22"/>
                <w:szCs w:val="22"/>
                <w:lang w:val="en-GB" w:eastAsia="en-US"/>
              </w:rPr>
              <w:t xml:space="preserve"> means a scheme or arrangement between two (2) or more Persons, with or without the knowledge of the Procuring Entity, that is designed to arbitrarily reduce the number of Tenders submitted or fix Tender prices at artificial, non-competitive levels,  thereby denying the Procuring Entity the benefits of competitive price arising from genuine and open competition;</w:t>
            </w:r>
          </w:p>
          <w:p>
            <w:pPr>
              <w:pStyle w:val="Normal"/>
              <w:widowControl w:val="false"/>
              <w:numPr>
                <w:ilvl w:val="0"/>
                <w:numId w:val="99"/>
              </w:numPr>
              <w:spacing w:before="40" w:after="40"/>
              <w:jc w:val="both"/>
              <w:rPr>
                <w:rFonts w:ascii="Arial" w:hAnsi="Arial" w:eastAsia="Times New Roman" w:cs="Arial"/>
                <w:spacing w:val="-4"/>
                <w:sz w:val="22"/>
                <w:szCs w:val="22"/>
                <w:lang w:val="en-GB" w:eastAsia="en-US"/>
              </w:rPr>
            </w:pPr>
            <w:r>
              <w:rPr>
                <w:rFonts w:eastAsia="Times New Roman" w:cs="Arial" w:ascii="Arial" w:hAnsi="Arial"/>
                <w:b/>
                <w:spacing w:val="-4"/>
                <w:sz w:val="22"/>
                <w:szCs w:val="22"/>
                <w:lang w:val="en-GB" w:eastAsia="en-US"/>
              </w:rPr>
              <w:t>“</w:t>
            </w:r>
            <w:r>
              <w:rPr>
                <w:rFonts w:eastAsia="Times New Roman" w:cs="Arial" w:ascii="Arial" w:hAnsi="Arial"/>
                <w:b/>
                <w:spacing w:val="-4"/>
                <w:sz w:val="22"/>
                <w:szCs w:val="22"/>
                <w:lang w:val="en-GB" w:eastAsia="en-US"/>
              </w:rPr>
              <w:t>coercive practice”</w:t>
            </w:r>
            <w:r>
              <w:rPr>
                <w:rFonts w:eastAsia="Times New Roman" w:cs="Arial" w:ascii="Arial" w:hAnsi="Arial"/>
                <w:spacing w:val="-4"/>
                <w:sz w:val="22"/>
                <w:szCs w:val="22"/>
                <w:lang w:val="en-GB" w:eastAsia="en-US"/>
              </w:rPr>
              <w:t xml:space="preserve"> means harming or threatening </w:t>
            </w:r>
            <w:r>
              <w:rPr>
                <w:rFonts w:cs="Arial" w:ascii="Arial" w:hAnsi="Arial"/>
                <w:sz w:val="22"/>
                <w:szCs w:val="22"/>
                <w:lang w:val="en-GB"/>
              </w:rPr>
              <w:t>to harm, directly or indirectly, Persons or their property to influence a decision to be taken in the Procurement proceeding or the execution of a Contract, and this will include creating obstructions in the normal submission process used for Tenders.</w:t>
            </w:r>
          </w:p>
          <w:p>
            <w:pPr>
              <w:pStyle w:val="Normal"/>
              <w:widowControl w:val="false"/>
              <w:numPr>
                <w:ilvl w:val="0"/>
                <w:numId w:val="99"/>
              </w:numPr>
              <w:tabs>
                <w:tab w:val="clear" w:pos="720"/>
                <w:tab w:val="left" w:pos="1361" w:leader="none"/>
              </w:tabs>
              <w:spacing w:before="40" w:after="40"/>
              <w:jc w:val="both"/>
              <w:rPr>
                <w:rFonts w:ascii="Arial" w:hAnsi="Arial" w:eastAsia="Times New Roman" w:cs="Arial"/>
                <w:spacing w:val="-4"/>
                <w:sz w:val="12"/>
                <w:szCs w:val="22"/>
                <w:lang w:val="en-GB" w:eastAsia="en-US"/>
              </w:rPr>
            </w:pPr>
            <w:r>
              <w:rPr>
                <w:rFonts w:cs="Arial" w:ascii="Arial" w:hAnsi="Arial"/>
                <w:sz w:val="22"/>
                <w:szCs w:val="22"/>
                <w:lang w:val="en-GB"/>
              </w:rPr>
              <w:t>“</w:t>
            </w:r>
            <w:r>
              <w:rPr>
                <w:rFonts w:cs="Arial" w:ascii="Arial" w:hAnsi="Arial"/>
                <w:sz w:val="22"/>
                <w:szCs w:val="22"/>
                <w:lang w:val="en-GB"/>
              </w:rPr>
              <w:t>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investigation or from pursuing the investigation.</w:t>
            </w:r>
          </w:p>
          <w:p>
            <w:pPr>
              <w:pStyle w:val="SubClauseText"/>
              <w:widowControl w:val="false"/>
              <w:numPr>
                <w:ilvl w:val="0"/>
                <w:numId w:val="99"/>
              </w:numPr>
              <w:rPr>
                <w:rFonts w:ascii="Arial" w:hAnsi="Arial" w:cs="Arial"/>
                <w:sz w:val="22"/>
                <w:szCs w:val="22"/>
              </w:rPr>
            </w:pPr>
            <w:r>
              <w:rPr>
                <w:rFonts w:cs="Arial" w:ascii="Arial" w:hAnsi="Arial"/>
                <w:sz w:val="22"/>
                <w:szCs w:val="22"/>
                <w:lang w:val="en-GB"/>
              </w:rPr>
              <w:t>Should any corrupt, fraudulent, collusive, coercive (or obstructive in case of Development Partner) practice of any kind is determined by the Procuring Entity or the Development Partner, if applicable, this will be dealt in accordance with the provisions of the Public Procurement Act and Rules and Guidelines of the Development Partners as stated in the ITT sub-clause 3.3.In case of obstructive practice, this will be dealt in accordance with Development Partners Guidelines.</w:t>
            </w:r>
          </w:p>
          <w:p>
            <w:pPr>
              <w:pStyle w:val="SubClauseText"/>
              <w:widowControl w:val="false"/>
              <w:numPr>
                <w:ilvl w:val="0"/>
                <w:numId w:val="99"/>
              </w:numPr>
              <w:rPr>
                <w:rFonts w:ascii="Arial" w:hAnsi="Arial" w:eastAsia="SimSun" w:cs="Arial"/>
                <w:spacing w:val="0"/>
                <w:sz w:val="22"/>
                <w:szCs w:val="22"/>
                <w:lang w:val="en-GB" w:eastAsia="zh-CN"/>
              </w:rPr>
            </w:pPr>
            <w:r>
              <w:rPr>
                <w:rFonts w:eastAsia="SimSun" w:cs="Arial" w:ascii="Arial" w:hAnsi="Arial"/>
                <w:spacing w:val="0"/>
                <w:sz w:val="22"/>
                <w:szCs w:val="22"/>
                <w:lang w:val="en-GB" w:eastAsia="zh-CN"/>
              </w:rPr>
              <w:t>If corrupt, fraudulent, collusive, coercive (or obstructive in case of Development Partner) practices of any kind is determined by the Procuring Entity against any Tenderer or Supplier (</w:t>
            </w:r>
            <w:r>
              <w:rPr>
                <w:rFonts w:eastAsia="SimSun" w:cs="Arial" w:ascii="Arial" w:hAnsi="Arial"/>
                <w:sz w:val="22"/>
                <w:szCs w:val="22"/>
                <w:lang w:val="en-GB" w:eastAsia="zh-CN"/>
              </w:rPr>
              <w:t>including its manufacturers, sub-contractors, agents, personnel, consultants, and service providers) in competing for, or in executing, a contract under public fund;</w:t>
            </w:r>
            <w:r>
              <w:rPr>
                <w:rFonts w:eastAsia="SimSun" w:cs="Arial" w:ascii="Arial" w:hAnsi="Arial"/>
                <w:spacing w:val="0"/>
                <w:sz w:val="22"/>
                <w:szCs w:val="22"/>
                <w:lang w:val="en-GB" w:eastAsia="zh-CN"/>
              </w:rPr>
              <w:t>:</w:t>
            </w:r>
          </w:p>
          <w:p>
            <w:pPr>
              <w:pStyle w:val="BodyText2"/>
              <w:widowControl w:val="false"/>
              <w:numPr>
                <w:ilvl w:val="2"/>
                <w:numId w:val="99"/>
              </w:numPr>
              <w:tabs>
                <w:tab w:val="left" w:pos="605" w:leader="none"/>
                <w:tab w:val="left" w:pos="1332" w:leader="none"/>
              </w:tabs>
              <w:ind w:left="1332" w:hanging="270"/>
              <w:jc w:val="both"/>
              <w:rPr>
                <w:rFonts w:ascii="Arial" w:hAnsi="Arial" w:eastAsia="SimSun" w:cs="Arial"/>
                <w:b w:val="false"/>
                <w:b w:val="false"/>
                <w:sz w:val="22"/>
                <w:szCs w:val="22"/>
                <w:lang w:val="en-GB" w:eastAsia="zh-CN"/>
              </w:rPr>
            </w:pPr>
            <w:r>
              <w:rPr>
                <w:rFonts w:eastAsia="SimSun" w:cs="Arial" w:ascii="Arial" w:hAnsi="Arial"/>
                <w:b w:val="false"/>
                <w:sz w:val="22"/>
                <w:szCs w:val="22"/>
                <w:lang w:val="en-GB" w:eastAsia="zh-CN"/>
              </w:rPr>
              <w:t>Procuring Entity and/or the Development Partner shall exclude the concerned Tenderer from further participation in the concerned procurement proceedings;</w:t>
            </w:r>
          </w:p>
          <w:p>
            <w:pPr>
              <w:pStyle w:val="BodyText2"/>
              <w:widowControl w:val="false"/>
              <w:numPr>
                <w:ilvl w:val="2"/>
                <w:numId w:val="99"/>
              </w:numPr>
              <w:tabs>
                <w:tab w:val="left" w:pos="605" w:leader="none"/>
                <w:tab w:val="left" w:pos="1332" w:leader="none"/>
              </w:tabs>
              <w:ind w:left="1332" w:hanging="270"/>
              <w:jc w:val="both"/>
              <w:rPr>
                <w:rFonts w:ascii="Arial" w:hAnsi="Arial" w:eastAsia="SimSun" w:cs="Arial"/>
                <w:b w:val="false"/>
                <w:b w:val="false"/>
                <w:sz w:val="22"/>
                <w:szCs w:val="22"/>
                <w:lang w:val="en-GB" w:eastAsia="zh-CN"/>
              </w:rPr>
            </w:pPr>
            <w:r>
              <w:rPr>
                <w:rFonts w:eastAsia="SimSun" w:cs="Arial" w:ascii="Arial" w:hAnsi="Arial"/>
                <w:b w:val="false"/>
                <w:sz w:val="22"/>
                <w:szCs w:val="22"/>
                <w:lang w:val="en-GB" w:eastAsia="zh-CN"/>
              </w:rPr>
              <w:t>Procuring Entity and/or the Development Partner shall reject any recommendation for award that had been proposed for that concerned Tenderer;</w:t>
            </w:r>
          </w:p>
          <w:p>
            <w:pPr>
              <w:pStyle w:val="BodyText2"/>
              <w:widowControl w:val="false"/>
              <w:numPr>
                <w:ilvl w:val="2"/>
                <w:numId w:val="99"/>
              </w:numPr>
              <w:tabs>
                <w:tab w:val="left" w:pos="605" w:leader="none"/>
                <w:tab w:val="left" w:pos="1332" w:leader="none"/>
              </w:tabs>
              <w:ind w:left="1332" w:hanging="270"/>
              <w:jc w:val="both"/>
              <w:rPr>
                <w:rFonts w:ascii="Arial" w:hAnsi="Arial" w:cs="Arial"/>
                <w:b w:val="false"/>
                <w:b w:val="false"/>
                <w:spacing w:val="-6"/>
                <w:sz w:val="22"/>
                <w:szCs w:val="22"/>
              </w:rPr>
            </w:pPr>
            <w:r>
              <w:rPr>
                <w:rFonts w:eastAsia="SimSun" w:cs="Arial" w:ascii="Arial" w:hAnsi="Arial"/>
                <w:b w:val="false"/>
                <w:sz w:val="22"/>
                <w:szCs w:val="22"/>
                <w:lang w:val="en-GB" w:eastAsia="zh-CN"/>
              </w:rPr>
              <w:t xml:space="preserve">Procuring Entity and/or the Development Partner shall </w:t>
            </w:r>
            <w:r>
              <w:rPr>
                <w:rFonts w:eastAsia="SimSun" w:cs="Arial" w:ascii="Arial" w:hAnsi="Arial"/>
                <w:b w:val="false"/>
                <w:spacing w:val="-6"/>
                <w:sz w:val="22"/>
                <w:szCs w:val="22"/>
                <w:lang w:val="en-GB"/>
              </w:rPr>
              <w:t>declare, at its discretion, the concerned Tenderer to be ineligible to participate in further Procurement proceedings, either indefinitely or for a specific period of time;</w:t>
            </w:r>
          </w:p>
          <w:p>
            <w:pPr>
              <w:pStyle w:val="BodyText2"/>
              <w:widowControl w:val="false"/>
              <w:numPr>
                <w:ilvl w:val="2"/>
                <w:numId w:val="99"/>
              </w:numPr>
              <w:tabs>
                <w:tab w:val="left" w:pos="605" w:leader="none"/>
                <w:tab w:val="left" w:pos="1332" w:leader="none"/>
              </w:tabs>
              <w:ind w:left="1332" w:hanging="270"/>
              <w:jc w:val="both"/>
              <w:rPr>
                <w:rFonts w:ascii="Arial" w:hAnsi="Arial" w:cs="Arial"/>
                <w:b w:val="false"/>
                <w:b w:val="false"/>
                <w:spacing w:val="-6"/>
                <w:sz w:val="22"/>
                <w:szCs w:val="22"/>
              </w:rPr>
            </w:pPr>
            <w:r>
              <w:rPr>
                <w:rFonts w:eastAsia="SimSun" w:cs="Arial" w:ascii="Arial" w:hAnsi="Arial"/>
                <w:b w:val="false"/>
                <w:sz w:val="22"/>
                <w:szCs w:val="22"/>
                <w:lang w:val="en-GB" w:eastAsia="zh-CN"/>
              </w:rPr>
              <w:t>Development Partner shall sanction  the concerned Tenderer or  individual, at any time, in accordance with prevailing Development Partner’ sanctions procedures, including by publicly declaring such Tenderer or individual ineligible, either indefinitely or for a stated period of time: (i) to be awarded a Development Partner-financed contract; and (ii) to be a nominated sub-contractor, consultant, manufacturer or Supplier, or service provider of an otherwise eligible firm being awarded a Development Partner-financed contract: and</w:t>
            </w:r>
          </w:p>
          <w:p>
            <w:pPr>
              <w:pStyle w:val="BodyText2"/>
              <w:widowControl w:val="false"/>
              <w:numPr>
                <w:ilvl w:val="2"/>
                <w:numId w:val="99"/>
              </w:numPr>
              <w:tabs>
                <w:tab w:val="left" w:pos="605" w:leader="none"/>
                <w:tab w:val="left" w:pos="1332" w:leader="none"/>
              </w:tabs>
              <w:spacing w:before="120" w:after="120"/>
              <w:ind w:left="1332" w:hanging="270"/>
              <w:jc w:val="both"/>
              <w:rPr>
                <w:rFonts w:ascii="Arial" w:hAnsi="Arial" w:cs="Arial"/>
                <w:b w:val="false"/>
                <w:b w:val="false"/>
                <w:spacing w:val="-6"/>
                <w:sz w:val="22"/>
                <w:szCs w:val="22"/>
              </w:rPr>
            </w:pPr>
            <w:r>
              <w:rPr>
                <w:rFonts w:eastAsia="SimSun" w:cs="Arial" w:ascii="Arial" w:hAnsi="Arial"/>
                <w:b w:val="false"/>
                <w:sz w:val="22"/>
                <w:szCs w:val="22"/>
                <w:lang w:val="en-GB" w:eastAsia="zh-CN"/>
              </w:rPr>
              <w:t>Development Partner shall cancel the portion of the loan allocated to a contract if it determines at any time that representatives of the Procuring Entity or of a beneficiary of the loan engaged in corrupt, fraudulent, collusive, coercive or obstructive practices during the procurement or the execution of that Development Partner financed contract, without the Procuring Entity having taken timely and appropriate action satisfactory to the Development Partner to remedy the situation</w:t>
            </w:r>
          </w:p>
        </w:tc>
      </w:tr>
      <w:tr>
        <w:trPr>
          <w:trHeight w:val="990" w:hRule="atLeast"/>
        </w:trPr>
        <w:tc>
          <w:tcPr>
            <w:tcW w:w="2222" w:type="dxa"/>
            <w:tcBorders/>
            <w:shd w:color="auto" w:fill="auto" w:val="clear"/>
          </w:tcPr>
          <w:p>
            <w:pPr>
              <w:pStyle w:val="Normal"/>
              <w:widowControl w:val="false"/>
              <w:numPr>
                <w:ilvl w:val="0"/>
                <w:numId w:val="0"/>
              </w:numPr>
              <w:spacing w:before="80" w:after="80"/>
              <w:ind w:left="14" w:hanging="0"/>
              <w:outlineLvl w:val="2"/>
              <w:rPr>
                <w:rStyle w:val="Heading3Char"/>
                <w:rFonts w:ascii="Arial" w:hAnsi="Arial"/>
                <w:b/>
                <w:b/>
                <w:bCs w:val="false"/>
                <w:sz w:val="22"/>
                <w:szCs w:val="22"/>
              </w:rPr>
            </w:pPr>
            <w:r>
              <w:rPr>
                <w:rFonts w:ascii="Arial" w:hAnsi="Arial"/>
                <w:b/>
                <w:bCs w:val="false"/>
                <w:sz w:val="22"/>
                <w:szCs w:val="22"/>
              </w:rPr>
            </w:r>
          </w:p>
        </w:tc>
        <w:tc>
          <w:tcPr>
            <w:tcW w:w="7020" w:type="dxa"/>
            <w:gridSpan w:val="3"/>
            <w:tcBorders/>
          </w:tcPr>
          <w:p>
            <w:pPr>
              <w:pStyle w:val="SubClauseText"/>
              <w:widowControl w:val="false"/>
              <w:numPr>
                <w:ilvl w:val="0"/>
                <w:numId w:val="98"/>
              </w:numPr>
              <w:tabs>
                <w:tab w:val="clear" w:pos="720"/>
                <w:tab w:val="left" w:pos="612" w:leader="none"/>
              </w:tabs>
              <w:spacing w:before="120" w:after="80"/>
              <w:ind w:left="612" w:hanging="540"/>
              <w:rPr>
                <w:rFonts w:ascii="Arial" w:hAnsi="Arial" w:cs="Arial"/>
                <w:sz w:val="22"/>
                <w:szCs w:val="22"/>
              </w:rPr>
            </w:pPr>
            <w:r>
              <w:rPr>
                <w:rFonts w:cs="Arial" w:ascii="Arial" w:hAnsi="Arial"/>
                <w:sz w:val="22"/>
                <w:szCs w:val="22"/>
                <w:lang w:val="en-GB"/>
              </w:rPr>
              <w:t>Tenderer shall be aware of the provisions on corruption, fraudulence, collusion, coercion (</w:t>
            </w:r>
            <w:r>
              <w:rPr>
                <w:rFonts w:eastAsia="SimSun" w:cs="Arial" w:ascii="Arial" w:hAnsi="Arial"/>
                <w:spacing w:val="0"/>
                <w:sz w:val="22"/>
                <w:szCs w:val="22"/>
                <w:lang w:val="en-GB" w:eastAsia="zh-CN"/>
              </w:rPr>
              <w:t xml:space="preserve">and obstruction, in case of Development Partner) </w:t>
            </w:r>
            <w:r>
              <w:rPr>
                <w:rFonts w:cs="Arial" w:ascii="Arial" w:hAnsi="Arial"/>
                <w:sz w:val="22"/>
                <w:szCs w:val="22"/>
                <w:lang w:val="en-GB"/>
              </w:rPr>
              <w:t>of the Public Procurement Act, 2006, the Public Procurement Rules, 2008 and others as stated in GCC Clause 6.</w:t>
            </w:r>
          </w:p>
          <w:p>
            <w:pPr>
              <w:pStyle w:val="SubClauseText"/>
              <w:widowControl w:val="false"/>
              <w:numPr>
                <w:ilvl w:val="0"/>
                <w:numId w:val="98"/>
              </w:numPr>
              <w:tabs>
                <w:tab w:val="clear" w:pos="720"/>
                <w:tab w:val="left" w:pos="612" w:leader="none"/>
              </w:tabs>
              <w:spacing w:before="120" w:after="80"/>
              <w:ind w:left="612" w:hanging="540"/>
              <w:rPr>
                <w:rFonts w:ascii="Arial" w:hAnsi="Arial" w:cs="Arial"/>
                <w:sz w:val="22"/>
                <w:szCs w:val="22"/>
              </w:rPr>
            </w:pPr>
            <w:r>
              <w:rPr>
                <w:rFonts w:cs="Arial" w:ascii="Arial" w:hAnsi="Arial"/>
                <w:sz w:val="22"/>
                <w:szCs w:val="22"/>
                <w:lang w:val="en-GB"/>
              </w:rPr>
              <w:t>In further pursuance of this policy, Tenderers, Suppliers and their manufacturers, sub-contractors, agents, personnel, consultants, service providers shall permit the Government and the Development Partner to inspect any accounts and records and other documents relating to the Tender submission and contract performance, and to have them audited by auditors appointed by the Government and/or the Development Partner</w:t>
            </w:r>
            <w:r>
              <w:rPr>
                <w:rFonts w:eastAsia="SimSun" w:cs="Arial" w:ascii="Arial" w:hAnsi="Arial"/>
                <w:sz w:val="22"/>
                <w:szCs w:val="22"/>
                <w:lang w:val="en-GB" w:eastAsia="zh-CN"/>
              </w:rPr>
              <w:t xml:space="preserve"> during the procurement or the execution of that Development Partner financed contract.</w:t>
            </w:r>
          </w:p>
        </w:tc>
      </w:tr>
      <w:tr>
        <w:trPr/>
        <w:tc>
          <w:tcPr>
            <w:tcW w:w="2222" w:type="dxa"/>
            <w:vMerge w:val="restart"/>
            <w:tcBorders/>
            <w:shd w:color="auto" w:fill="auto" w:val="clear"/>
          </w:tcPr>
          <w:p>
            <w:pPr>
              <w:pStyle w:val="Normal"/>
              <w:widowControl w:val="false"/>
              <w:numPr>
                <w:ilvl w:val="0"/>
                <w:numId w:val="31"/>
              </w:numPr>
              <w:spacing w:before="80" w:after="80"/>
              <w:ind w:left="360" w:hanging="346"/>
              <w:outlineLvl w:val="2"/>
              <w:rPr>
                <w:rFonts w:ascii="Arial" w:hAnsi="Arial" w:cs="Arial"/>
                <w:b/>
                <w:b/>
                <w:sz w:val="22"/>
                <w:szCs w:val="22"/>
                <w:lang w:val="en-GB"/>
              </w:rPr>
            </w:pPr>
            <w:bookmarkStart w:id="46" w:name="_Toc438907207"/>
            <w:bookmarkStart w:id="47" w:name="_Toc49504742"/>
            <w:bookmarkStart w:id="48" w:name="_Toc49504623"/>
            <w:bookmarkStart w:id="49" w:name="_Toc421454191"/>
            <w:bookmarkStart w:id="50" w:name="_Toc438438823"/>
            <w:bookmarkStart w:id="51" w:name="_Toc438532560"/>
            <w:bookmarkStart w:id="52" w:name="_Toc438733967"/>
            <w:bookmarkStart w:id="53" w:name="_Toc49569759"/>
            <w:bookmarkStart w:id="54" w:name="_Toc49591321"/>
            <w:bookmarkStart w:id="55" w:name="_Toc49591669"/>
            <w:bookmarkStart w:id="56" w:name="_Toc49504189"/>
            <w:bookmarkStart w:id="57" w:name="_Toc37047277"/>
            <w:bookmarkStart w:id="58" w:name="_Toc438907008"/>
            <w:r>
              <w:rPr>
                <w:rStyle w:val="Heading3Char"/>
                <w:rFonts w:ascii="Arial" w:hAnsi="Arial"/>
                <w:b/>
                <w:sz w:val="22"/>
                <w:szCs w:val="22"/>
              </w:rPr>
              <w:t>Eligible Tenderer</w:t>
            </w:r>
            <w:bookmarkEnd w:id="46"/>
            <w:bookmarkEnd w:id="47"/>
            <w:bookmarkEnd w:id="48"/>
            <w:bookmarkEnd w:id="49"/>
            <w:bookmarkEnd w:id="50"/>
            <w:bookmarkEnd w:id="51"/>
            <w:bookmarkEnd w:id="52"/>
            <w:bookmarkEnd w:id="53"/>
            <w:bookmarkEnd w:id="54"/>
            <w:bookmarkEnd w:id="55"/>
            <w:bookmarkEnd w:id="56"/>
            <w:bookmarkEnd w:id="57"/>
            <w:bookmarkEnd w:id="58"/>
          </w:p>
        </w:tc>
        <w:tc>
          <w:tcPr>
            <w:tcW w:w="7020" w:type="dxa"/>
            <w:gridSpan w:val="3"/>
            <w:tcBorders/>
          </w:tcPr>
          <w:p>
            <w:pPr>
              <w:pStyle w:val="Heading4"/>
              <w:widowControl w:val="false"/>
              <w:numPr>
                <w:ilvl w:val="0"/>
                <w:numId w:val="36"/>
              </w:numPr>
              <w:tabs>
                <w:tab w:val="clear" w:pos="720"/>
                <w:tab w:val="left" w:pos="585" w:leader="none"/>
              </w:tabs>
              <w:spacing w:before="120" w:after="80"/>
              <w:ind w:left="585" w:hanging="576"/>
              <w:jc w:val="both"/>
              <w:rPr>
                <w:rFonts w:ascii="Arial" w:hAnsi="Arial" w:cs="Arial"/>
                <w:sz w:val="22"/>
                <w:szCs w:val="22"/>
                <w:lang w:val="en-GB"/>
              </w:rPr>
            </w:pPr>
            <w:r>
              <w:rPr>
                <w:rFonts w:cs="Arial" w:ascii="Arial" w:hAnsi="Arial"/>
                <w:sz w:val="22"/>
                <w:szCs w:val="22"/>
                <w:lang w:val="en-GB"/>
              </w:rPr>
              <w:t xml:space="preserve">This Invitation for Tenders is open to eligible Tenderers from all countries, except for any specified in the </w:t>
            </w:r>
            <w:r>
              <w:rPr>
                <w:rFonts w:cs="Arial" w:ascii="Arial" w:hAnsi="Arial"/>
                <w:b/>
                <w:sz w:val="22"/>
                <w:szCs w:val="22"/>
                <w:lang w:val="en-GB"/>
              </w:rPr>
              <w:t>TDS</w:t>
            </w:r>
            <w:r>
              <w:rPr>
                <w:rFonts w:cs="Arial" w:ascii="Arial" w:hAnsi="Arial"/>
                <w:sz w:val="22"/>
                <w:szCs w:val="22"/>
                <w:lang w:val="en-GB"/>
              </w:rPr>
              <w:t>.</w:t>
            </w:r>
          </w:p>
        </w:tc>
      </w:tr>
      <w:tr>
        <w:trPr/>
        <w:tc>
          <w:tcPr>
            <w:tcW w:w="2222" w:type="dxa"/>
            <w:vMerge w:val="continue"/>
            <w:tcBorders/>
            <w:shd w:color="auto" w:fill="auto" w:val="clear"/>
          </w:tcPr>
          <w:p>
            <w:pPr>
              <w:pStyle w:val="Normal"/>
              <w:widowControl w:val="false"/>
              <w:spacing w:before="120" w:after="120"/>
              <w:ind w:left="432" w:hanging="432"/>
              <w:rPr>
                <w:rFonts w:ascii="Arial" w:hAnsi="Arial" w:cs="Arial"/>
                <w:sz w:val="22"/>
                <w:szCs w:val="22"/>
                <w:lang w:val="en-GB"/>
              </w:rPr>
            </w:pPr>
            <w:r>
              <w:rPr>
                <w:rFonts w:cs="Arial" w:ascii="Arial" w:hAnsi="Arial"/>
                <w:sz w:val="22"/>
                <w:szCs w:val="22"/>
                <w:lang w:val="en-GB"/>
              </w:rPr>
            </w:r>
          </w:p>
        </w:tc>
        <w:tc>
          <w:tcPr>
            <w:tcW w:w="7020" w:type="dxa"/>
            <w:gridSpan w:val="3"/>
            <w:tcBorders/>
          </w:tcPr>
          <w:p>
            <w:pPr>
              <w:pStyle w:val="Heading4"/>
              <w:widowControl w:val="false"/>
              <w:numPr>
                <w:ilvl w:val="0"/>
                <w:numId w:val="36"/>
              </w:numPr>
              <w:tabs>
                <w:tab w:val="clear" w:pos="720"/>
                <w:tab w:val="left" w:pos="567" w:leader="none"/>
              </w:tabs>
              <w:spacing w:before="120" w:after="80"/>
              <w:ind w:left="585" w:hanging="576"/>
              <w:jc w:val="both"/>
              <w:rPr>
                <w:rFonts w:ascii="Arial" w:hAnsi="Arial" w:cs="Arial"/>
                <w:sz w:val="22"/>
                <w:szCs w:val="22"/>
                <w:lang w:val="en-GB"/>
              </w:rPr>
            </w:pPr>
            <w:r>
              <w:rPr>
                <w:rFonts w:eastAsia="SimSun" w:cs="Arial" w:ascii="Arial" w:hAnsi="Arial"/>
                <w:sz w:val="22"/>
                <w:szCs w:val="22"/>
                <w:lang w:val="en-GB" w:eastAsia="zh-CN"/>
              </w:rPr>
              <w:t>Tenderers shall have the legal capacity to enter into the Contract.</w:t>
            </w:r>
          </w:p>
        </w:tc>
      </w:tr>
      <w:tr>
        <w:trPr/>
        <w:tc>
          <w:tcPr>
            <w:tcW w:w="2222" w:type="dxa"/>
            <w:vMerge w:val="continue"/>
            <w:tcBorders/>
            <w:shd w:color="auto" w:fill="auto" w:val="clear"/>
          </w:tcPr>
          <w:p>
            <w:pPr>
              <w:pStyle w:val="Normal"/>
              <w:widowControl w:val="false"/>
              <w:spacing w:before="120" w:after="120"/>
              <w:ind w:left="432" w:hanging="432"/>
              <w:rPr>
                <w:rFonts w:ascii="Arial" w:hAnsi="Arial" w:cs="Arial"/>
                <w:sz w:val="22"/>
                <w:szCs w:val="22"/>
                <w:lang w:val="en-GB"/>
              </w:rPr>
            </w:pPr>
            <w:r>
              <w:rPr>
                <w:rFonts w:cs="Arial" w:ascii="Arial" w:hAnsi="Arial"/>
                <w:sz w:val="22"/>
                <w:szCs w:val="22"/>
                <w:lang w:val="en-GB"/>
              </w:rPr>
            </w:r>
          </w:p>
        </w:tc>
        <w:tc>
          <w:tcPr>
            <w:tcW w:w="7020" w:type="dxa"/>
            <w:gridSpan w:val="3"/>
            <w:tcBorders/>
          </w:tcPr>
          <w:p>
            <w:pPr>
              <w:pStyle w:val="Heading4"/>
              <w:widowControl w:val="false"/>
              <w:numPr>
                <w:ilvl w:val="0"/>
                <w:numId w:val="36"/>
              </w:numPr>
              <w:tabs>
                <w:tab w:val="clear" w:pos="720"/>
                <w:tab w:val="left" w:pos="567" w:leader="none"/>
              </w:tabs>
              <w:spacing w:before="120" w:after="80"/>
              <w:ind w:left="585" w:hanging="576"/>
              <w:jc w:val="both"/>
              <w:rPr>
                <w:rFonts w:ascii="Arial" w:hAnsi="Arial" w:cs="Arial"/>
                <w:sz w:val="22"/>
                <w:szCs w:val="22"/>
                <w:lang w:val="en-GB"/>
              </w:rPr>
            </w:pPr>
            <w:r>
              <w:rPr>
                <w:rFonts w:cs="Arial" w:ascii="Arial" w:hAnsi="Arial"/>
                <w:sz w:val="22"/>
                <w:szCs w:val="22"/>
                <w:lang w:val="en-GB"/>
              </w:rPr>
              <w:t>Tenderers may be a physical or juridical individual or body of individuals, or company invited to take part in public procurement or seeking to be so invited or submitting a Tender in response to an Invitation for Tenders.</w:t>
            </w:r>
          </w:p>
        </w:tc>
      </w:tr>
      <w:tr>
        <w:trPr/>
        <w:tc>
          <w:tcPr>
            <w:tcW w:w="2222" w:type="dxa"/>
            <w:vMerge w:val="continue"/>
            <w:tcBorders/>
            <w:shd w:color="auto" w:fill="auto" w:val="clear"/>
          </w:tcPr>
          <w:p>
            <w:pPr>
              <w:pStyle w:val="Normal"/>
              <w:widowControl w:val="false"/>
              <w:spacing w:before="120" w:after="120"/>
              <w:rPr>
                <w:rFonts w:ascii="Arial" w:hAnsi="Arial" w:cs="Arial"/>
                <w:sz w:val="22"/>
                <w:szCs w:val="22"/>
                <w:lang w:val="en-GB"/>
              </w:rPr>
            </w:pPr>
            <w:r>
              <w:rPr>
                <w:rFonts w:cs="Arial" w:ascii="Arial" w:hAnsi="Arial"/>
                <w:sz w:val="22"/>
                <w:szCs w:val="22"/>
                <w:lang w:val="en-GB"/>
              </w:rPr>
            </w:r>
          </w:p>
        </w:tc>
        <w:tc>
          <w:tcPr>
            <w:tcW w:w="7020" w:type="dxa"/>
            <w:gridSpan w:val="3"/>
            <w:tcBorders/>
          </w:tcPr>
          <w:p>
            <w:pPr>
              <w:pStyle w:val="Heading4"/>
              <w:widowControl w:val="false"/>
              <w:numPr>
                <w:ilvl w:val="0"/>
                <w:numId w:val="36"/>
              </w:numPr>
              <w:tabs>
                <w:tab w:val="clear" w:pos="720"/>
                <w:tab w:val="left" w:pos="567" w:leader="none"/>
              </w:tabs>
              <w:spacing w:before="120" w:after="80"/>
              <w:ind w:left="585" w:hanging="576"/>
              <w:jc w:val="both"/>
              <w:rPr>
                <w:rFonts w:ascii="Arial" w:hAnsi="Arial" w:cs="Arial"/>
                <w:sz w:val="22"/>
                <w:szCs w:val="22"/>
                <w:lang w:val="en-GB"/>
              </w:rPr>
            </w:pPr>
            <w:r>
              <w:rPr>
                <w:rFonts w:cs="Arial" w:ascii="Arial" w:hAnsi="Arial"/>
                <w:sz w:val="22"/>
                <w:szCs w:val="22"/>
                <w:lang w:val="en-GB"/>
              </w:rPr>
              <w:t>Tenderers shall have fulfilled its obligations to pay taxes and social security contributions under the provisions of laws and regulations of the country of its origin.</w:t>
            </w:r>
          </w:p>
        </w:tc>
      </w:tr>
      <w:tr>
        <w:trPr>
          <w:trHeight w:val="3852" w:hRule="atLeast"/>
        </w:trPr>
        <w:tc>
          <w:tcPr>
            <w:tcW w:w="2222" w:type="dxa"/>
            <w:vMerge w:val="continue"/>
            <w:tcBorders/>
            <w:shd w:color="auto" w:fill="auto" w:val="clear"/>
          </w:tcPr>
          <w:p>
            <w:pPr>
              <w:pStyle w:val="Normal"/>
              <w:widowControl w:val="false"/>
              <w:spacing w:before="120" w:after="120"/>
              <w:rPr>
                <w:rFonts w:ascii="Arial" w:hAnsi="Arial" w:cs="Arial"/>
                <w:sz w:val="22"/>
                <w:szCs w:val="22"/>
                <w:lang w:val="en-GB"/>
              </w:rPr>
            </w:pPr>
            <w:r>
              <w:rPr>
                <w:rFonts w:cs="Arial" w:ascii="Arial" w:hAnsi="Arial"/>
                <w:sz w:val="22"/>
                <w:szCs w:val="22"/>
                <w:lang w:val="en-GB"/>
              </w:rPr>
            </w:r>
          </w:p>
        </w:tc>
        <w:tc>
          <w:tcPr>
            <w:tcW w:w="7020" w:type="dxa"/>
            <w:gridSpan w:val="3"/>
            <w:tcBorders/>
          </w:tcPr>
          <w:p>
            <w:pPr>
              <w:pStyle w:val="Heading4"/>
              <w:widowControl w:val="false"/>
              <w:numPr>
                <w:ilvl w:val="0"/>
                <w:numId w:val="36"/>
              </w:numPr>
              <w:tabs>
                <w:tab w:val="clear" w:pos="720"/>
                <w:tab w:val="left" w:pos="567" w:leader="none"/>
              </w:tabs>
              <w:spacing w:before="120" w:after="80"/>
              <w:ind w:left="585" w:hanging="576"/>
              <w:jc w:val="both"/>
              <w:rPr>
                <w:rFonts w:ascii="Arial" w:hAnsi="Arial" w:cs="Arial"/>
                <w:sz w:val="22"/>
                <w:szCs w:val="22"/>
                <w:lang w:val="en-GB"/>
              </w:rPr>
            </w:pPr>
            <w:r>
              <w:rPr>
                <w:rFonts w:cs="Arial" w:ascii="Arial" w:hAnsi="Arial"/>
                <w:sz w:val="22"/>
                <w:szCs w:val="22"/>
                <w:lang w:val="en-GB"/>
              </w:rPr>
              <w:t>Tenderers should not be associated, or have been associated in the past, directly or indirectly, with a consultant or any of its affiliates which have been engaged by the Procuring Entity to provide consulting services for the preparation of the specifications and other documents to be used for the procurement of the Goods to be supplied under this Invitation for Tenders.</w:t>
            </w:r>
          </w:p>
          <w:p>
            <w:pPr>
              <w:pStyle w:val="Heading4"/>
              <w:widowControl w:val="false"/>
              <w:numPr>
                <w:ilvl w:val="0"/>
                <w:numId w:val="36"/>
              </w:numPr>
              <w:tabs>
                <w:tab w:val="clear" w:pos="720"/>
                <w:tab w:val="left" w:pos="567" w:leader="none"/>
              </w:tabs>
              <w:spacing w:before="120" w:after="80"/>
              <w:ind w:left="585" w:hanging="576"/>
              <w:jc w:val="both"/>
              <w:rPr>
                <w:rFonts w:ascii="Arial" w:hAnsi="Arial" w:cs="Arial"/>
                <w:sz w:val="22"/>
                <w:szCs w:val="22"/>
                <w:lang w:val="en-GB"/>
              </w:rPr>
            </w:pPr>
            <w:r>
              <w:rPr>
                <w:rFonts w:cs="Arial" w:ascii="Arial" w:hAnsi="Arial"/>
                <w:sz w:val="22"/>
                <w:szCs w:val="22"/>
                <w:lang w:val="en-GB"/>
              </w:rPr>
              <w:t>Tenderers in its own name or its other names or also in the case of its Persons in different names, shall not be under a declaration of ineligibility for corrupt, fraudulent, collusive, coercive practices as stated under ITT Sub Clause 4.4 (or obstructive practice, in case of Development Partner) in relation to the Development Partner’s Guidelines in projects financed by Development Partner.</w:t>
            </w:r>
          </w:p>
        </w:tc>
      </w:tr>
      <w:tr>
        <w:trPr/>
        <w:tc>
          <w:tcPr>
            <w:tcW w:w="2222" w:type="dxa"/>
            <w:vMerge w:val="continue"/>
            <w:tcBorders/>
            <w:shd w:color="auto" w:fill="auto" w:val="clear"/>
          </w:tcPr>
          <w:p>
            <w:pPr>
              <w:pStyle w:val="Normal"/>
              <w:widowControl w:val="false"/>
              <w:spacing w:before="120" w:after="120"/>
              <w:rPr>
                <w:rFonts w:ascii="Arial" w:hAnsi="Arial" w:cs="Arial"/>
                <w:sz w:val="22"/>
                <w:szCs w:val="22"/>
                <w:lang w:val="en-GB"/>
              </w:rPr>
            </w:pPr>
            <w:r>
              <w:rPr>
                <w:rFonts w:cs="Arial" w:ascii="Arial" w:hAnsi="Arial"/>
                <w:sz w:val="22"/>
                <w:szCs w:val="22"/>
                <w:lang w:val="en-GB"/>
              </w:rPr>
            </w:r>
          </w:p>
        </w:tc>
        <w:tc>
          <w:tcPr>
            <w:tcW w:w="7020" w:type="dxa"/>
            <w:gridSpan w:val="3"/>
            <w:tcBorders/>
          </w:tcPr>
          <w:p>
            <w:pPr>
              <w:pStyle w:val="Heading4"/>
              <w:widowControl w:val="false"/>
              <w:numPr>
                <w:ilvl w:val="0"/>
                <w:numId w:val="36"/>
              </w:numPr>
              <w:tabs>
                <w:tab w:val="clear" w:pos="720"/>
                <w:tab w:val="left" w:pos="567" w:leader="none"/>
              </w:tabs>
              <w:spacing w:before="120" w:after="80"/>
              <w:ind w:left="585" w:hanging="576"/>
              <w:jc w:val="both"/>
              <w:rPr>
                <w:rFonts w:ascii="Arial" w:hAnsi="Arial" w:eastAsia="SimSun" w:cs="Arial"/>
                <w:sz w:val="22"/>
                <w:szCs w:val="22"/>
                <w:lang w:val="en-GB" w:eastAsia="zh-CN"/>
              </w:rPr>
            </w:pPr>
            <w:r>
              <w:rPr>
                <w:rFonts w:cs="Arial" w:ascii="Arial" w:hAnsi="Arial"/>
                <w:sz w:val="22"/>
                <w:szCs w:val="22"/>
                <w:lang w:val="en-GB"/>
              </w:rPr>
              <w:t>Tenderers are not restrained or barred from participating in public Procurement on grounds of execution of defective supply in the past under any Contract.</w:t>
            </w:r>
          </w:p>
        </w:tc>
      </w:tr>
      <w:tr>
        <w:trPr/>
        <w:tc>
          <w:tcPr>
            <w:tcW w:w="2222" w:type="dxa"/>
            <w:vMerge w:val="continue"/>
            <w:tcBorders/>
            <w:shd w:color="auto" w:fill="auto" w:val="clear"/>
          </w:tcPr>
          <w:p>
            <w:pPr>
              <w:pStyle w:val="Normal"/>
              <w:widowControl w:val="false"/>
              <w:spacing w:before="120" w:after="120"/>
              <w:rPr>
                <w:rFonts w:ascii="Arial" w:hAnsi="Arial" w:cs="Arial"/>
                <w:sz w:val="22"/>
                <w:szCs w:val="22"/>
                <w:lang w:val="en-GB"/>
              </w:rPr>
            </w:pPr>
            <w:r>
              <w:rPr>
                <w:rFonts w:cs="Arial" w:ascii="Arial" w:hAnsi="Arial"/>
                <w:sz w:val="22"/>
                <w:szCs w:val="22"/>
                <w:lang w:val="en-GB"/>
              </w:rPr>
            </w:r>
          </w:p>
        </w:tc>
        <w:tc>
          <w:tcPr>
            <w:tcW w:w="7020" w:type="dxa"/>
            <w:gridSpan w:val="3"/>
            <w:tcBorders/>
          </w:tcPr>
          <w:p>
            <w:pPr>
              <w:pStyle w:val="Heading4"/>
              <w:widowControl w:val="false"/>
              <w:numPr>
                <w:ilvl w:val="0"/>
                <w:numId w:val="36"/>
              </w:numPr>
              <w:tabs>
                <w:tab w:val="clear" w:pos="720"/>
                <w:tab w:val="left" w:pos="567" w:leader="none"/>
              </w:tabs>
              <w:spacing w:before="120" w:after="80"/>
              <w:ind w:left="585" w:hanging="576"/>
              <w:jc w:val="both"/>
              <w:rPr>
                <w:rFonts w:ascii="Arial" w:hAnsi="Arial" w:cs="Arial"/>
                <w:sz w:val="22"/>
                <w:szCs w:val="22"/>
                <w:lang w:val="en-GB"/>
              </w:rPr>
            </w:pPr>
            <w:r>
              <w:rPr>
                <w:rFonts w:cs="Arial" w:ascii="Arial" w:hAnsi="Arial"/>
                <w:sz w:val="22"/>
                <w:szCs w:val="22"/>
                <w:lang w:val="en-GB"/>
              </w:rPr>
              <w:t>Tenderers shall not be insolvent, be in receivership, be bankrupt, be in the process of bankruptcy, be not temporarily barred from undertaking business and it shall not be the subject of legal proceedings for any of the foregoing.</w:t>
            </w:r>
          </w:p>
        </w:tc>
      </w:tr>
      <w:tr>
        <w:trPr/>
        <w:tc>
          <w:tcPr>
            <w:tcW w:w="2222" w:type="dxa"/>
            <w:vMerge w:val="continue"/>
            <w:tcBorders/>
            <w:shd w:color="auto" w:fill="auto" w:val="clear"/>
          </w:tcPr>
          <w:p>
            <w:pPr>
              <w:pStyle w:val="Normal"/>
              <w:widowControl w:val="false"/>
              <w:spacing w:before="120" w:after="120"/>
              <w:rPr>
                <w:rFonts w:ascii="Arial" w:hAnsi="Arial" w:cs="Arial"/>
                <w:sz w:val="22"/>
                <w:szCs w:val="22"/>
                <w:lang w:val="en-GB"/>
              </w:rPr>
            </w:pPr>
            <w:r>
              <w:rPr>
                <w:rFonts w:cs="Arial" w:ascii="Arial" w:hAnsi="Arial"/>
                <w:sz w:val="22"/>
                <w:szCs w:val="22"/>
                <w:lang w:val="en-GB"/>
              </w:rPr>
            </w:r>
          </w:p>
        </w:tc>
        <w:tc>
          <w:tcPr>
            <w:tcW w:w="7020" w:type="dxa"/>
            <w:gridSpan w:val="3"/>
            <w:tcBorders/>
          </w:tcPr>
          <w:p>
            <w:pPr>
              <w:pStyle w:val="Heading4"/>
              <w:widowControl w:val="false"/>
              <w:numPr>
                <w:ilvl w:val="0"/>
                <w:numId w:val="36"/>
              </w:numPr>
              <w:tabs>
                <w:tab w:val="clear" w:pos="720"/>
                <w:tab w:val="left" w:pos="567" w:leader="none"/>
              </w:tabs>
              <w:spacing w:before="120" w:after="80"/>
              <w:ind w:left="585" w:hanging="576"/>
              <w:jc w:val="both"/>
              <w:rPr>
                <w:lang w:val="en-GB"/>
              </w:rPr>
            </w:pPr>
            <w:r>
              <w:rPr>
                <w:rFonts w:cs="Arial" w:ascii="Arial" w:hAnsi="Arial"/>
                <w:sz w:val="22"/>
                <w:szCs w:val="22"/>
                <w:lang w:val="en-GB"/>
              </w:rPr>
              <w:t>Government-owned enterprise in Bangladesh may also participate in the Tender if it is legally and financially autonomous, it operates under commercial law, and it is not a dependent agency of the Procuring Entity</w:t>
            </w:r>
            <w:r>
              <w:rPr>
                <w:lang w:val="en-GB"/>
              </w:rPr>
              <w:t>.</w:t>
            </w:r>
          </w:p>
        </w:tc>
      </w:tr>
      <w:tr>
        <w:trPr/>
        <w:tc>
          <w:tcPr>
            <w:tcW w:w="2222" w:type="dxa"/>
            <w:vMerge w:val="continue"/>
            <w:tcBorders/>
            <w:shd w:color="auto" w:fill="auto" w:val="clear"/>
          </w:tcPr>
          <w:p>
            <w:pPr>
              <w:pStyle w:val="Normal"/>
              <w:widowControl w:val="false"/>
              <w:spacing w:before="120" w:after="120"/>
              <w:ind w:left="432" w:hanging="432"/>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Heading4"/>
              <w:widowControl w:val="false"/>
              <w:numPr>
                <w:ilvl w:val="0"/>
                <w:numId w:val="36"/>
              </w:numPr>
              <w:tabs>
                <w:tab w:val="clear" w:pos="720"/>
                <w:tab w:val="left" w:pos="567" w:leader="none"/>
              </w:tabs>
              <w:spacing w:before="120" w:after="120"/>
              <w:ind w:left="585" w:hanging="576"/>
              <w:jc w:val="both"/>
              <w:rPr>
                <w:rFonts w:ascii="Arial" w:hAnsi="Arial" w:cs="Arial"/>
                <w:sz w:val="22"/>
                <w:szCs w:val="22"/>
                <w:lang w:val="en-GB"/>
              </w:rPr>
            </w:pPr>
            <w:r>
              <w:rPr>
                <w:rFonts w:cs="Arial" w:ascii="Arial" w:hAnsi="Arial"/>
                <w:sz w:val="22"/>
                <w:szCs w:val="22"/>
                <w:lang w:val="en-GB"/>
              </w:rPr>
              <w:t>Tender</w:t>
            </w:r>
            <w:r>
              <w:rPr>
                <w:rFonts w:cs="Arial" w:ascii="Arial" w:hAnsi="Arial"/>
                <w:sz w:val="22"/>
                <w:szCs w:val="22"/>
              </w:rPr>
              <w:t xml:space="preserve">ers shall provide such evidence of their continued eligibility satisfactory to the </w:t>
            </w:r>
            <w:r>
              <w:rPr>
                <w:rFonts w:cs="Arial" w:ascii="Arial" w:hAnsi="Arial"/>
                <w:sz w:val="22"/>
                <w:szCs w:val="22"/>
                <w:lang w:val="en-GB"/>
              </w:rPr>
              <w:t>Procuring Entity</w:t>
            </w:r>
            <w:r>
              <w:rPr>
                <w:rFonts w:cs="Arial" w:ascii="Arial" w:hAnsi="Arial"/>
                <w:sz w:val="22"/>
                <w:szCs w:val="22"/>
              </w:rPr>
              <w:t xml:space="preserve">, as the </w:t>
            </w:r>
            <w:r>
              <w:rPr>
                <w:rFonts w:cs="Arial" w:ascii="Arial" w:hAnsi="Arial"/>
                <w:sz w:val="22"/>
                <w:szCs w:val="22"/>
                <w:lang w:val="en-GB"/>
              </w:rPr>
              <w:t>Procuring Entity</w:t>
            </w:r>
            <w:r>
              <w:rPr>
                <w:rFonts w:cs="Arial" w:ascii="Arial" w:hAnsi="Arial"/>
                <w:sz w:val="22"/>
                <w:szCs w:val="22"/>
              </w:rPr>
              <w:t xml:space="preserve"> will reasonably request.</w:t>
            </w:r>
          </w:p>
        </w:tc>
      </w:tr>
      <w:tr>
        <w:trPr/>
        <w:tc>
          <w:tcPr>
            <w:tcW w:w="2222" w:type="dxa"/>
            <w:tcBorders/>
            <w:shd w:color="auto" w:fill="auto" w:val="clear"/>
          </w:tcPr>
          <w:p>
            <w:pPr>
              <w:pStyle w:val="Normal"/>
              <w:widowControl w:val="false"/>
              <w:spacing w:before="120" w:after="120"/>
              <w:ind w:left="432" w:hanging="432"/>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Heading4"/>
              <w:widowControl w:val="false"/>
              <w:numPr>
                <w:ilvl w:val="0"/>
                <w:numId w:val="36"/>
              </w:numPr>
              <w:tabs>
                <w:tab w:val="clear" w:pos="720"/>
                <w:tab w:val="left" w:pos="549" w:leader="none"/>
              </w:tabs>
              <w:spacing w:before="120" w:after="120"/>
              <w:ind w:left="585" w:hanging="576"/>
              <w:jc w:val="both"/>
              <w:rPr>
                <w:rFonts w:ascii="Arial" w:hAnsi="Arial" w:cs="Arial"/>
                <w:sz w:val="22"/>
                <w:szCs w:val="22"/>
                <w:lang w:val="en-GB"/>
              </w:rPr>
            </w:pPr>
            <w:r>
              <w:rPr>
                <w:rFonts w:cs="Arial" w:ascii="Arial" w:hAnsi="Arial"/>
                <w:sz w:val="22"/>
                <w:szCs w:val="22"/>
                <w:lang w:val="en-GB"/>
              </w:rPr>
              <w:t>These requirements for eligibility will extend, as applicable, to Sub-contractor proposed by the Tenderer.</w:t>
            </w:r>
          </w:p>
          <w:p>
            <w:pPr>
              <w:pStyle w:val="Normal"/>
              <w:widowControl w:val="false"/>
              <w:rPr>
                <w:sz w:val="20"/>
                <w:szCs w:val="20"/>
                <w:lang w:val="en-GB" w:eastAsia="en-US"/>
              </w:rPr>
            </w:pPr>
            <w:r>
              <w:rPr>
                <w:sz w:val="20"/>
                <w:szCs w:val="20"/>
                <w:lang w:val="en-GB" w:eastAsia="en-US"/>
              </w:rPr>
            </w:r>
          </w:p>
        </w:tc>
      </w:tr>
      <w:tr>
        <w:trPr/>
        <w:tc>
          <w:tcPr>
            <w:tcW w:w="2222" w:type="dxa"/>
            <w:vMerge w:val="restart"/>
            <w:tcBorders/>
            <w:shd w:color="auto" w:fill="auto" w:val="clear"/>
          </w:tcPr>
          <w:p>
            <w:pPr>
              <w:pStyle w:val="Normal"/>
              <w:widowControl w:val="false"/>
              <w:numPr>
                <w:ilvl w:val="0"/>
                <w:numId w:val="31"/>
              </w:numPr>
              <w:spacing w:before="80" w:after="80"/>
              <w:ind w:left="360" w:hanging="346"/>
              <w:outlineLvl w:val="2"/>
              <w:rPr>
                <w:rFonts w:ascii="Arial" w:hAnsi="Arial" w:cs="Arial"/>
                <w:b/>
                <w:b/>
                <w:sz w:val="22"/>
                <w:szCs w:val="22"/>
                <w:lang w:val="en-GB"/>
              </w:rPr>
            </w:pPr>
            <w:bookmarkStart w:id="59" w:name="_Toc49504743"/>
            <w:bookmarkStart w:id="60" w:name="_Toc421454192"/>
            <w:bookmarkStart w:id="61" w:name="_Toc49504190"/>
            <w:bookmarkStart w:id="62" w:name="_Toc49504624"/>
            <w:bookmarkStart w:id="63" w:name="_Toc438438824"/>
            <w:bookmarkStart w:id="64" w:name="_Toc438532568"/>
            <w:bookmarkStart w:id="65" w:name="_Toc438733968"/>
            <w:bookmarkStart w:id="66" w:name="_Toc438907009"/>
            <w:bookmarkStart w:id="67" w:name="_Toc49591322"/>
            <w:bookmarkStart w:id="68" w:name="_Toc49591670"/>
            <w:bookmarkStart w:id="69" w:name="_Toc37047278"/>
            <w:bookmarkStart w:id="70" w:name="_Toc438907208"/>
            <w:bookmarkStart w:id="71" w:name="_Toc49569760"/>
            <w:r>
              <w:rPr>
                <w:rStyle w:val="Heading3Char"/>
                <w:rFonts w:ascii="Arial" w:hAnsi="Arial"/>
                <w:b/>
                <w:sz w:val="22"/>
                <w:szCs w:val="22"/>
              </w:rPr>
              <w:t>Eligible Goods and Related Services</w:t>
            </w:r>
            <w:bookmarkEnd w:id="59"/>
            <w:bookmarkEnd w:id="60"/>
            <w:bookmarkEnd w:id="61"/>
            <w:bookmarkEnd w:id="62"/>
            <w:bookmarkEnd w:id="63"/>
            <w:bookmarkEnd w:id="64"/>
            <w:bookmarkEnd w:id="65"/>
            <w:bookmarkEnd w:id="66"/>
            <w:bookmarkEnd w:id="67"/>
            <w:bookmarkEnd w:id="68"/>
            <w:bookmarkEnd w:id="69"/>
            <w:bookmarkEnd w:id="70"/>
            <w:bookmarkEnd w:id="71"/>
          </w:p>
        </w:tc>
        <w:tc>
          <w:tcPr>
            <w:tcW w:w="7020" w:type="dxa"/>
            <w:gridSpan w:val="3"/>
            <w:tcBorders/>
          </w:tcPr>
          <w:p>
            <w:pPr>
              <w:pStyle w:val="SubClauseText"/>
              <w:widowControl w:val="false"/>
              <w:numPr>
                <w:ilvl w:val="0"/>
                <w:numId w:val="19"/>
              </w:numPr>
              <w:tabs>
                <w:tab w:val="clear" w:pos="720"/>
                <w:tab w:val="left" w:pos="567" w:leader="none"/>
              </w:tabs>
              <w:spacing w:before="100" w:after="100"/>
              <w:ind w:left="590" w:hanging="576"/>
              <w:rPr>
                <w:rFonts w:ascii="Arial" w:hAnsi="Arial" w:cs="Arial"/>
                <w:sz w:val="22"/>
                <w:szCs w:val="22"/>
                <w:lang w:val="en-GB"/>
              </w:rPr>
            </w:pPr>
            <w:r>
              <w:rPr>
                <w:rFonts w:cs="Arial" w:ascii="Arial" w:hAnsi="Arial"/>
                <w:sz w:val="22"/>
                <w:szCs w:val="22"/>
                <w:lang w:val="en-GB"/>
              </w:rPr>
              <w:t xml:space="preserve">All goods and related services to be supplied under the contract are eligible, unless their origin is from a country specified in the </w:t>
            </w:r>
            <w:r>
              <w:rPr>
                <w:rFonts w:cs="Arial" w:ascii="Arial" w:hAnsi="Arial"/>
                <w:b/>
                <w:sz w:val="22"/>
                <w:szCs w:val="22"/>
                <w:lang w:val="en-GB"/>
              </w:rPr>
              <w:t>TDS</w:t>
            </w:r>
            <w:r>
              <w:rPr>
                <w:rFonts w:cs="Arial" w:ascii="Arial" w:hAnsi="Arial"/>
                <w:sz w:val="22"/>
                <w:szCs w:val="22"/>
                <w:lang w:val="en-GB"/>
              </w:rPr>
              <w:t>.</w:t>
            </w:r>
          </w:p>
        </w:tc>
      </w:tr>
      <w:tr>
        <w:trPr/>
        <w:tc>
          <w:tcPr>
            <w:tcW w:w="2222" w:type="dxa"/>
            <w:vMerge w:val="continue"/>
            <w:tcBorders/>
            <w:shd w:color="auto" w:fill="auto" w:val="clear"/>
          </w:tcPr>
          <w:p>
            <w:pPr>
              <w:pStyle w:val="Normal"/>
              <w:widowControl w:val="false"/>
              <w:spacing w:before="120" w:after="120"/>
              <w:ind w:left="432" w:hanging="432"/>
              <w:rPr>
                <w:rFonts w:ascii="Arial" w:hAnsi="Arial" w:cs="Arial"/>
                <w:sz w:val="22"/>
                <w:szCs w:val="22"/>
                <w:lang w:val="en-GB"/>
              </w:rPr>
            </w:pPr>
            <w:r>
              <w:rPr>
                <w:rFonts w:cs="Arial" w:ascii="Arial" w:hAnsi="Arial"/>
                <w:sz w:val="22"/>
                <w:szCs w:val="22"/>
                <w:lang w:val="en-GB"/>
              </w:rPr>
            </w:r>
          </w:p>
        </w:tc>
        <w:tc>
          <w:tcPr>
            <w:tcW w:w="7020" w:type="dxa"/>
            <w:gridSpan w:val="3"/>
            <w:tcBorders/>
          </w:tcPr>
          <w:p>
            <w:pPr>
              <w:pStyle w:val="SubClauseText"/>
              <w:widowControl w:val="false"/>
              <w:numPr>
                <w:ilvl w:val="0"/>
                <w:numId w:val="19"/>
              </w:numPr>
              <w:tabs>
                <w:tab w:val="clear" w:pos="720"/>
                <w:tab w:val="left" w:pos="585" w:leader="none"/>
              </w:tabs>
              <w:spacing w:before="100" w:after="100"/>
              <w:ind w:left="590" w:hanging="576"/>
              <w:rPr>
                <w:rFonts w:ascii="Arial" w:hAnsi="Arial" w:cs="Arial"/>
                <w:sz w:val="22"/>
                <w:szCs w:val="22"/>
                <w:lang w:val="en-GB"/>
              </w:rPr>
            </w:pPr>
            <w:r>
              <w:rPr>
                <w:rFonts w:cs="Arial" w:ascii="Arial" w:hAnsi="Arial"/>
                <w:sz w:val="22"/>
                <w:szCs w:val="22"/>
                <w:lang w:val="en-GB"/>
              </w:rPr>
              <w:t xml:space="preserve">For purposes of this Clause, the term </w:t>
            </w:r>
            <w:r>
              <w:rPr>
                <w:rFonts w:cs="Arial" w:ascii="Arial" w:hAnsi="Arial"/>
                <w:b/>
                <w:sz w:val="22"/>
                <w:szCs w:val="22"/>
                <w:lang w:val="en-GB"/>
              </w:rPr>
              <w:t>“goods”</w:t>
            </w:r>
            <w:r>
              <w:rPr>
                <w:rFonts w:cs="Arial" w:ascii="Arial" w:hAnsi="Arial"/>
                <w:sz w:val="22"/>
                <w:szCs w:val="22"/>
                <w:lang w:val="en-GB"/>
              </w:rPr>
              <w:t xml:space="preserve"> includes commodities, raw material, machinery, equipment, and industrial plants; and “related services” includes services such as insurance, transportation, installation, and commissioning, training, and initial maintenance.</w:t>
            </w:r>
          </w:p>
        </w:tc>
      </w:tr>
      <w:tr>
        <w:trPr>
          <w:trHeight w:val="1287" w:hRule="atLeast"/>
        </w:trPr>
        <w:tc>
          <w:tcPr>
            <w:tcW w:w="2222" w:type="dxa"/>
            <w:vMerge w:val="continue"/>
            <w:tcBorders/>
            <w:shd w:color="auto" w:fill="auto" w:val="clear"/>
          </w:tcPr>
          <w:p>
            <w:pPr>
              <w:pStyle w:val="Normal"/>
              <w:widowControl w:val="false"/>
              <w:spacing w:before="120" w:after="120"/>
              <w:ind w:left="432" w:hanging="432"/>
              <w:rPr>
                <w:rFonts w:ascii="Arial" w:hAnsi="Arial" w:cs="Arial"/>
                <w:sz w:val="22"/>
                <w:szCs w:val="22"/>
                <w:lang w:val="en-GB"/>
              </w:rPr>
            </w:pPr>
            <w:r>
              <w:rPr>
                <w:rFonts w:cs="Arial" w:ascii="Arial" w:hAnsi="Arial"/>
                <w:sz w:val="22"/>
                <w:szCs w:val="22"/>
                <w:lang w:val="en-GB"/>
              </w:rPr>
            </w:r>
          </w:p>
        </w:tc>
        <w:tc>
          <w:tcPr>
            <w:tcW w:w="7020" w:type="dxa"/>
            <w:gridSpan w:val="3"/>
            <w:tcBorders/>
          </w:tcPr>
          <w:p>
            <w:pPr>
              <w:pStyle w:val="SubClauseText"/>
              <w:widowControl w:val="false"/>
              <w:spacing w:before="100" w:after="100"/>
              <w:ind w:left="612" w:hanging="0"/>
              <w:rPr>
                <w:rFonts w:ascii="Arial" w:hAnsi="Arial" w:cs="Arial"/>
                <w:sz w:val="22"/>
                <w:szCs w:val="22"/>
                <w:lang w:val="en-GB"/>
              </w:rPr>
            </w:pPr>
            <w:r>
              <w:rPr>
                <w:rFonts w:cs="Arial" w:ascii="Arial" w:hAnsi="Arial"/>
                <w:sz w:val="22"/>
                <w:szCs w:val="22"/>
                <w:lang w:val="en-GB"/>
              </w:rPr>
              <w:t xml:space="preserve">For purposes of this clause, </w:t>
            </w:r>
            <w:r>
              <w:rPr>
                <w:rFonts w:cs="Arial" w:ascii="Arial" w:hAnsi="Arial"/>
                <w:b/>
                <w:sz w:val="22"/>
                <w:szCs w:val="22"/>
                <w:lang w:val="en-GB"/>
              </w:rPr>
              <w:t>“origin”</w:t>
            </w:r>
            <w:r>
              <w:rPr>
                <w:rFonts w:cs="Arial" w:ascii="Arial" w:hAnsi="Arial"/>
                <w:sz w:val="22"/>
                <w:szCs w:val="22"/>
                <w:lang w:val="en-GB"/>
              </w:rPr>
              <w:t xml:space="preserve"> means the country where the goods have been mined, grown, cultivated, produced, manufactured or processed; or through manufacturing, processing, or assembling, another commercially recognized new product results that differs substantially in its basic characteristics from its components</w:t>
            </w:r>
            <w:r>
              <w:rPr>
                <w:rFonts w:eastAsia="SimSun" w:cs="Arial" w:ascii="Arial" w:hAnsi="Arial"/>
                <w:spacing w:val="0"/>
                <w:sz w:val="22"/>
                <w:szCs w:val="22"/>
                <w:lang w:val="en-GB" w:eastAsia="zh-CN"/>
              </w:rPr>
              <w:t>.</w:t>
            </w:r>
          </w:p>
        </w:tc>
      </w:tr>
      <w:tr>
        <w:trPr/>
        <w:tc>
          <w:tcPr>
            <w:tcW w:w="2222" w:type="dxa"/>
            <w:vMerge w:val="continue"/>
            <w:tcBorders/>
            <w:shd w:color="auto" w:fill="auto" w:val="clear"/>
          </w:tcPr>
          <w:p>
            <w:pPr>
              <w:pStyle w:val="Normal"/>
              <w:widowControl w:val="false"/>
              <w:spacing w:before="120" w:after="120"/>
              <w:ind w:left="432" w:hanging="432"/>
              <w:rPr>
                <w:rFonts w:ascii="Arial" w:hAnsi="Arial" w:cs="Arial"/>
                <w:sz w:val="22"/>
                <w:szCs w:val="22"/>
                <w:lang w:val="en-GB"/>
              </w:rPr>
            </w:pPr>
            <w:r>
              <w:rPr>
                <w:rFonts w:cs="Arial" w:ascii="Arial" w:hAnsi="Arial"/>
                <w:sz w:val="22"/>
                <w:szCs w:val="22"/>
                <w:lang w:val="en-GB"/>
              </w:rPr>
            </w:r>
          </w:p>
        </w:tc>
        <w:tc>
          <w:tcPr>
            <w:tcW w:w="7020" w:type="dxa"/>
            <w:gridSpan w:val="3"/>
            <w:tcBorders/>
          </w:tcPr>
          <w:p>
            <w:pPr>
              <w:pStyle w:val="SubClauseText"/>
              <w:widowControl w:val="false"/>
              <w:numPr>
                <w:ilvl w:val="0"/>
                <w:numId w:val="19"/>
              </w:numPr>
              <w:tabs>
                <w:tab w:val="clear" w:pos="720"/>
                <w:tab w:val="left" w:pos="549" w:leader="none"/>
              </w:tabs>
              <w:spacing w:before="100" w:after="100"/>
              <w:ind w:left="590" w:hanging="576"/>
              <w:rPr>
                <w:rFonts w:ascii="Arial" w:hAnsi="Arial" w:cs="Arial"/>
                <w:sz w:val="22"/>
                <w:szCs w:val="22"/>
                <w:lang w:val="en-GB"/>
              </w:rPr>
            </w:pPr>
            <w:r>
              <w:rPr>
                <w:rFonts w:cs="Arial" w:ascii="Arial" w:hAnsi="Arial"/>
                <w:sz w:val="22"/>
                <w:szCs w:val="22"/>
                <w:lang w:val="en-GB"/>
              </w:rPr>
              <w:t>The origin of Goods and related services is distinct from the nationality of the Tenderer.</w:t>
            </w:r>
          </w:p>
        </w:tc>
      </w:tr>
      <w:tr>
        <w:trPr/>
        <w:tc>
          <w:tcPr>
            <w:tcW w:w="2222" w:type="dxa"/>
            <w:tcBorders/>
            <w:shd w:color="auto" w:fill="auto" w:val="clear"/>
          </w:tcPr>
          <w:p>
            <w:pPr>
              <w:pStyle w:val="Normal"/>
              <w:widowControl w:val="false"/>
              <w:numPr>
                <w:ilvl w:val="0"/>
                <w:numId w:val="31"/>
              </w:numPr>
              <w:spacing w:before="80" w:after="80"/>
              <w:ind w:left="360" w:hanging="346"/>
              <w:outlineLvl w:val="2"/>
              <w:rPr>
                <w:rFonts w:ascii="Arial" w:hAnsi="Arial" w:cs="Arial"/>
                <w:b/>
                <w:b/>
                <w:sz w:val="22"/>
                <w:szCs w:val="22"/>
                <w:lang w:val="en-GB"/>
              </w:rPr>
            </w:pPr>
            <w:bookmarkStart w:id="72" w:name="_Toc421454193"/>
            <w:bookmarkStart w:id="73" w:name="_Toc49591323"/>
            <w:bookmarkStart w:id="74" w:name="_Toc49569761"/>
            <w:bookmarkStart w:id="75" w:name="_Toc49504625"/>
            <w:bookmarkStart w:id="76" w:name="_Toc49504744"/>
            <w:bookmarkStart w:id="77" w:name="_Toc49591671"/>
            <w:bookmarkStart w:id="78" w:name="_Toc49504191"/>
            <w:r>
              <w:rPr>
                <w:rStyle w:val="Heading3Char"/>
                <w:rFonts w:ascii="Arial" w:hAnsi="Arial"/>
                <w:b/>
                <w:sz w:val="22"/>
                <w:szCs w:val="22"/>
              </w:rPr>
              <w:t>Site Visit</w:t>
            </w:r>
            <w:bookmarkEnd w:id="72"/>
            <w:bookmarkEnd w:id="73"/>
            <w:bookmarkEnd w:id="74"/>
            <w:bookmarkEnd w:id="75"/>
            <w:bookmarkEnd w:id="76"/>
            <w:bookmarkEnd w:id="77"/>
            <w:bookmarkEnd w:id="78"/>
          </w:p>
        </w:tc>
        <w:tc>
          <w:tcPr>
            <w:tcW w:w="7020" w:type="dxa"/>
            <w:gridSpan w:val="3"/>
            <w:tcBorders/>
          </w:tcPr>
          <w:p>
            <w:pPr>
              <w:pStyle w:val="Normal"/>
              <w:widowControl w:val="false"/>
              <w:numPr>
                <w:ilvl w:val="0"/>
                <w:numId w:val="38"/>
              </w:numPr>
              <w:tabs>
                <w:tab w:val="clear" w:pos="720"/>
                <w:tab w:val="left" w:pos="567" w:leader="none"/>
              </w:tabs>
              <w:spacing w:before="120" w:after="120"/>
              <w:ind w:left="567" w:hanging="558"/>
              <w:jc w:val="both"/>
              <w:rPr>
                <w:rFonts w:ascii="Arial" w:hAnsi="Arial" w:cs="Arial"/>
                <w:sz w:val="22"/>
                <w:szCs w:val="22"/>
                <w:lang w:val="en-GB"/>
              </w:rPr>
            </w:pPr>
            <w:r>
              <w:rPr>
                <w:rFonts w:cs="Arial" w:ascii="Arial" w:hAnsi="Arial"/>
                <w:sz w:val="22"/>
                <w:szCs w:val="22"/>
                <w:lang w:val="en-GB"/>
              </w:rPr>
              <w:t>The costs of visiting the Site shall be at the Tenderer’s own expense.</w:t>
            </w:r>
          </w:p>
        </w:tc>
      </w:tr>
      <w:tr>
        <w:trPr/>
        <w:tc>
          <w:tcPr>
            <w:tcW w:w="9242" w:type="dxa"/>
            <w:gridSpan w:val="4"/>
            <w:tcBorders/>
          </w:tcPr>
          <w:p>
            <w:pPr>
              <w:pStyle w:val="Heading2"/>
              <w:widowControl w:val="false"/>
              <w:spacing w:before="120" w:after="120"/>
              <w:ind w:left="432" w:hanging="432"/>
              <w:rPr>
                <w:rFonts w:ascii="Arial" w:hAnsi="Arial"/>
                <w:sz w:val="32"/>
                <w:szCs w:val="32"/>
                <w:lang w:val="en-GB"/>
              </w:rPr>
            </w:pPr>
            <w:bookmarkStart w:id="79" w:name="_Toc49504745"/>
            <w:bookmarkStart w:id="80" w:name="_Toc49504626"/>
            <w:bookmarkStart w:id="81" w:name="_Toc49569762"/>
            <w:bookmarkStart w:id="82" w:name="_Toc49504192"/>
            <w:bookmarkStart w:id="83" w:name="_Toc421454194"/>
            <w:bookmarkStart w:id="84" w:name="_Toc49591324"/>
            <w:bookmarkStart w:id="85" w:name="_Toc49591672"/>
            <w:r>
              <w:rPr>
                <w:rFonts w:ascii="Arial" w:hAnsi="Arial"/>
                <w:sz w:val="32"/>
                <w:szCs w:val="32"/>
                <w:lang w:val="en-GB"/>
              </w:rPr>
              <w:t>B.</w:t>
              <w:tab/>
              <w:t>Tender Document</w:t>
            </w:r>
            <w:bookmarkEnd w:id="79"/>
            <w:bookmarkEnd w:id="80"/>
            <w:bookmarkEnd w:id="81"/>
            <w:bookmarkEnd w:id="82"/>
            <w:bookmarkEnd w:id="83"/>
            <w:bookmarkEnd w:id="84"/>
            <w:bookmarkEnd w:id="85"/>
          </w:p>
        </w:tc>
      </w:tr>
      <w:tr>
        <w:trPr>
          <w:trHeight w:val="2655" w:hRule="atLeast"/>
        </w:trPr>
        <w:tc>
          <w:tcPr>
            <w:tcW w:w="2222" w:type="dxa"/>
            <w:vMerge w:val="restart"/>
            <w:tcBorders/>
            <w:shd w:color="auto" w:fill="auto" w:val="clear"/>
          </w:tcPr>
          <w:p>
            <w:pPr>
              <w:pStyle w:val="Normal"/>
              <w:widowControl w:val="false"/>
              <w:numPr>
                <w:ilvl w:val="0"/>
                <w:numId w:val="31"/>
              </w:numPr>
              <w:ind w:left="360" w:hanging="346"/>
              <w:outlineLvl w:val="2"/>
              <w:rPr>
                <w:rFonts w:ascii="Arial" w:hAnsi="Arial" w:cs="Arial"/>
                <w:b/>
                <w:b/>
                <w:sz w:val="22"/>
                <w:szCs w:val="22"/>
                <w:lang w:val="fr-FR"/>
              </w:rPr>
            </w:pPr>
            <w:bookmarkStart w:id="86" w:name="_Toc49504746"/>
            <w:bookmarkStart w:id="87" w:name="_Toc49504627"/>
            <w:bookmarkStart w:id="88" w:name="_Toc438532572"/>
            <w:bookmarkStart w:id="89" w:name="_Toc49504193"/>
            <w:bookmarkStart w:id="90" w:name="_Toc49569763"/>
            <w:bookmarkStart w:id="91" w:name="_Toc49591325"/>
            <w:bookmarkStart w:id="92" w:name="_Toc438438826"/>
            <w:bookmarkStart w:id="93" w:name="_Toc438532574"/>
            <w:bookmarkStart w:id="94" w:name="_Toc438907209"/>
            <w:bookmarkStart w:id="95" w:name="_Toc421454195"/>
            <w:bookmarkStart w:id="96" w:name="_Toc438907010"/>
            <w:bookmarkStart w:id="97" w:name="_Toc438733970"/>
            <w:bookmarkStart w:id="98" w:name="_Toc49591673"/>
            <w:bookmarkEnd w:id="88"/>
            <w:r>
              <w:rPr>
                <w:rStyle w:val="Heading3Char"/>
                <w:rFonts w:ascii="Arial" w:hAnsi="Arial"/>
                <w:b/>
                <w:sz w:val="22"/>
                <w:szCs w:val="22"/>
              </w:rPr>
              <w:t>Tender Document</w:t>
            </w:r>
            <w:bookmarkEnd w:id="86"/>
            <w:bookmarkEnd w:id="87"/>
            <w:bookmarkEnd w:id="89"/>
            <w:bookmarkEnd w:id="90"/>
            <w:bookmarkEnd w:id="91"/>
            <w:bookmarkEnd w:id="98"/>
            <w:r>
              <w:rPr>
                <w:rStyle w:val="Heading3Char"/>
                <w:rFonts w:ascii="Arial" w:hAnsi="Arial"/>
                <w:b/>
                <w:sz w:val="22"/>
                <w:szCs w:val="22"/>
              </w:rPr>
              <w:t xml:space="preserve">: </w:t>
            </w:r>
            <w:bookmarkEnd w:id="92"/>
            <w:bookmarkEnd w:id="93"/>
            <w:bookmarkEnd w:id="94"/>
            <w:bookmarkEnd w:id="96"/>
            <w:bookmarkEnd w:id="97"/>
            <w:r>
              <w:rPr>
                <w:rStyle w:val="Heading3Char"/>
                <w:rFonts w:ascii="Arial" w:hAnsi="Arial"/>
                <w:b/>
                <w:sz w:val="22"/>
                <w:szCs w:val="22"/>
              </w:rPr>
              <w:t>General</w:t>
            </w:r>
            <w:bookmarkEnd w:id="95"/>
          </w:p>
        </w:tc>
        <w:tc>
          <w:tcPr>
            <w:tcW w:w="7020" w:type="dxa"/>
            <w:gridSpan w:val="3"/>
            <w:tcBorders/>
          </w:tcPr>
          <w:p>
            <w:pPr>
              <w:pStyle w:val="SubClauseText"/>
              <w:widowControl w:val="false"/>
              <w:numPr>
                <w:ilvl w:val="0"/>
                <w:numId w:val="20"/>
              </w:numPr>
              <w:tabs>
                <w:tab w:val="clear" w:pos="720"/>
                <w:tab w:val="left" w:pos="549" w:leader="none"/>
              </w:tabs>
              <w:spacing w:before="0" w:after="0"/>
              <w:ind w:left="590" w:hanging="576"/>
              <w:rPr>
                <w:rFonts w:ascii="Arial" w:hAnsi="Arial" w:cs="Arial"/>
                <w:sz w:val="22"/>
                <w:szCs w:val="22"/>
                <w:lang w:val="en-GB"/>
              </w:rPr>
            </w:pPr>
            <w:r>
              <w:rPr>
                <w:rFonts w:cs="Arial" w:ascii="Arial" w:hAnsi="Arial"/>
                <w:sz w:val="22"/>
                <w:szCs w:val="22"/>
                <w:lang w:val="en-GB"/>
              </w:rPr>
              <w:t>The Sections comprising the Tender Document are listed below and should be read in conjunction with any addendum issued under ITT Clause 11.</w:t>
            </w:r>
          </w:p>
          <w:p>
            <w:pPr>
              <w:pStyle w:val="Normal"/>
              <w:widowControl w:val="false"/>
              <w:numPr>
                <w:ilvl w:val="1"/>
                <w:numId w:val="20"/>
              </w:numPr>
              <w:tabs>
                <w:tab w:val="clear" w:pos="720"/>
                <w:tab w:val="left" w:pos="1422" w:leader="none"/>
              </w:tabs>
              <w:ind w:left="1422" w:hanging="450"/>
              <w:rPr>
                <w:rFonts w:ascii="Arial" w:hAnsi="Arial" w:cs="Arial"/>
                <w:sz w:val="22"/>
                <w:szCs w:val="22"/>
                <w:lang w:val="en-GB"/>
              </w:rPr>
            </w:pPr>
            <w:r>
              <w:rPr>
                <w:rFonts w:cs="Arial" w:ascii="Arial" w:hAnsi="Arial"/>
                <w:sz w:val="22"/>
                <w:szCs w:val="22"/>
                <w:lang w:val="en-GB"/>
              </w:rPr>
              <w:t>Section 1   Instructions to Tenderers (ITT)</w:t>
            </w:r>
          </w:p>
          <w:p>
            <w:pPr>
              <w:pStyle w:val="Normal"/>
              <w:widowControl w:val="false"/>
              <w:numPr>
                <w:ilvl w:val="1"/>
                <w:numId w:val="20"/>
              </w:numPr>
              <w:tabs>
                <w:tab w:val="clear" w:pos="720"/>
                <w:tab w:val="left" w:pos="1422" w:leader="none"/>
              </w:tabs>
              <w:ind w:left="1422" w:hanging="450"/>
              <w:rPr>
                <w:rFonts w:ascii="Arial" w:hAnsi="Arial" w:cs="Arial"/>
                <w:sz w:val="22"/>
                <w:szCs w:val="22"/>
                <w:lang w:val="en-GB"/>
              </w:rPr>
            </w:pPr>
            <w:r>
              <w:rPr>
                <w:rFonts w:cs="Arial" w:ascii="Arial" w:hAnsi="Arial"/>
                <w:sz w:val="22"/>
                <w:szCs w:val="22"/>
                <w:lang w:val="en-GB"/>
              </w:rPr>
              <w:t>Section 2   Tender Data Sheet (TDS)</w:t>
            </w:r>
          </w:p>
          <w:p>
            <w:pPr>
              <w:pStyle w:val="Normal"/>
              <w:widowControl w:val="false"/>
              <w:numPr>
                <w:ilvl w:val="1"/>
                <w:numId w:val="20"/>
              </w:numPr>
              <w:tabs>
                <w:tab w:val="clear" w:pos="720"/>
                <w:tab w:val="left" w:pos="1422" w:leader="none"/>
              </w:tabs>
              <w:ind w:left="1422" w:hanging="450"/>
              <w:rPr>
                <w:rFonts w:ascii="Arial" w:hAnsi="Arial" w:cs="Arial"/>
                <w:sz w:val="22"/>
                <w:szCs w:val="22"/>
                <w:lang w:val="en-GB"/>
              </w:rPr>
            </w:pPr>
            <w:r>
              <w:rPr>
                <w:rFonts w:cs="Arial" w:ascii="Arial" w:hAnsi="Arial"/>
                <w:sz w:val="22"/>
                <w:szCs w:val="22"/>
                <w:lang w:val="en-GB"/>
              </w:rPr>
              <w:t>Section 3   General Conditions of Contract (GCC)</w:t>
            </w:r>
          </w:p>
          <w:p>
            <w:pPr>
              <w:pStyle w:val="Normal"/>
              <w:widowControl w:val="false"/>
              <w:numPr>
                <w:ilvl w:val="1"/>
                <w:numId w:val="20"/>
              </w:numPr>
              <w:tabs>
                <w:tab w:val="clear" w:pos="720"/>
                <w:tab w:val="left" w:pos="1422" w:leader="none"/>
              </w:tabs>
              <w:ind w:left="1422" w:hanging="450"/>
              <w:rPr>
                <w:rFonts w:ascii="Arial" w:hAnsi="Arial" w:cs="Arial"/>
                <w:sz w:val="22"/>
                <w:szCs w:val="22"/>
                <w:lang w:val="en-GB"/>
              </w:rPr>
            </w:pPr>
            <w:r>
              <w:rPr>
                <w:rFonts w:cs="Arial" w:ascii="Arial" w:hAnsi="Arial"/>
                <w:sz w:val="22"/>
                <w:szCs w:val="22"/>
                <w:lang w:val="en-GB"/>
              </w:rPr>
              <w:t>Section 4   Particular Conditions of Contract (PCC)</w:t>
            </w:r>
          </w:p>
          <w:p>
            <w:pPr>
              <w:pStyle w:val="Normal"/>
              <w:widowControl w:val="false"/>
              <w:numPr>
                <w:ilvl w:val="1"/>
                <w:numId w:val="20"/>
              </w:numPr>
              <w:tabs>
                <w:tab w:val="clear" w:pos="720"/>
                <w:tab w:val="left" w:pos="1422" w:leader="none"/>
              </w:tabs>
              <w:ind w:left="1422" w:hanging="450"/>
              <w:rPr>
                <w:rFonts w:ascii="Arial" w:hAnsi="Arial" w:cs="Arial"/>
                <w:sz w:val="22"/>
                <w:szCs w:val="22"/>
                <w:lang w:val="en-GB"/>
              </w:rPr>
            </w:pPr>
            <w:r>
              <w:rPr>
                <w:rFonts w:cs="Arial" w:ascii="Arial" w:hAnsi="Arial"/>
                <w:sz w:val="22"/>
                <w:szCs w:val="22"/>
                <w:lang w:val="en-GB"/>
              </w:rPr>
              <w:t>Section 5   Tender and Contract Forms</w:t>
            </w:r>
          </w:p>
          <w:p>
            <w:pPr>
              <w:pStyle w:val="Normal"/>
              <w:widowControl w:val="false"/>
              <w:numPr>
                <w:ilvl w:val="1"/>
                <w:numId w:val="20"/>
              </w:numPr>
              <w:tabs>
                <w:tab w:val="clear" w:pos="720"/>
                <w:tab w:val="left" w:pos="1422" w:leader="none"/>
              </w:tabs>
              <w:ind w:left="1422" w:hanging="450"/>
              <w:rPr>
                <w:rFonts w:ascii="Arial" w:hAnsi="Arial" w:cs="Arial"/>
                <w:sz w:val="22"/>
                <w:szCs w:val="22"/>
                <w:lang w:val="en-GB"/>
              </w:rPr>
            </w:pPr>
            <w:r>
              <w:rPr>
                <w:rFonts w:cs="Arial" w:ascii="Arial" w:hAnsi="Arial"/>
                <w:sz w:val="22"/>
                <w:szCs w:val="22"/>
                <w:lang w:val="en-GB"/>
              </w:rPr>
              <w:t>Section 6   Schedule of Requirements</w:t>
            </w:r>
          </w:p>
          <w:p>
            <w:pPr>
              <w:pStyle w:val="Normal"/>
              <w:widowControl w:val="false"/>
              <w:numPr>
                <w:ilvl w:val="1"/>
                <w:numId w:val="20"/>
              </w:numPr>
              <w:tabs>
                <w:tab w:val="clear" w:pos="720"/>
                <w:tab w:val="left" w:pos="1422" w:leader="none"/>
              </w:tabs>
              <w:ind w:left="1422" w:hanging="450"/>
              <w:rPr>
                <w:rFonts w:ascii="Arial" w:hAnsi="Arial" w:cs="Arial"/>
                <w:sz w:val="22"/>
                <w:szCs w:val="22"/>
                <w:lang w:val="en-GB"/>
              </w:rPr>
            </w:pPr>
            <w:r>
              <w:rPr>
                <w:rFonts w:cs="Arial" w:ascii="Arial" w:hAnsi="Arial"/>
                <w:sz w:val="22"/>
                <w:szCs w:val="22"/>
                <w:lang w:val="en-GB"/>
              </w:rPr>
              <w:t>Section 7   Technical Specifications</w:t>
            </w:r>
          </w:p>
          <w:p>
            <w:pPr>
              <w:pStyle w:val="Normal"/>
              <w:widowControl w:val="false"/>
              <w:numPr>
                <w:ilvl w:val="1"/>
                <w:numId w:val="20"/>
              </w:numPr>
              <w:tabs>
                <w:tab w:val="clear" w:pos="720"/>
                <w:tab w:val="left" w:pos="1422" w:leader="none"/>
              </w:tabs>
              <w:ind w:left="1422" w:hanging="450"/>
              <w:rPr>
                <w:rFonts w:ascii="Arial" w:hAnsi="Arial" w:cs="Arial"/>
                <w:sz w:val="22"/>
                <w:szCs w:val="22"/>
                <w:lang w:val="en-GB"/>
              </w:rPr>
            </w:pPr>
            <w:r>
              <w:rPr>
                <w:rFonts w:cs="Arial" w:ascii="Arial" w:hAnsi="Arial"/>
                <w:sz w:val="22"/>
                <w:szCs w:val="22"/>
                <w:lang w:val="en-GB"/>
              </w:rPr>
              <w:t>Section 8   Drawings</w:t>
            </w:r>
          </w:p>
        </w:tc>
      </w:tr>
      <w:tr>
        <w:trPr>
          <w:trHeight w:val="360" w:hRule="atLeast"/>
        </w:trPr>
        <w:tc>
          <w:tcPr>
            <w:tcW w:w="2222" w:type="dxa"/>
            <w:vMerge w:val="continue"/>
            <w:tcBorders/>
            <w:shd w:color="auto" w:fill="auto" w:val="clear"/>
          </w:tcPr>
          <w:p>
            <w:pPr>
              <w:pStyle w:val="Normal"/>
              <w:widowControl w:val="false"/>
              <w:ind w:left="432" w:hanging="432"/>
              <w:rPr>
                <w:rFonts w:ascii="Arial" w:hAnsi="Arial" w:cs="Arial"/>
                <w:sz w:val="21"/>
                <w:szCs w:val="21"/>
                <w:lang w:val="fr-FR"/>
              </w:rPr>
            </w:pPr>
            <w:r>
              <w:rPr>
                <w:rFonts w:cs="Arial" w:ascii="Arial" w:hAnsi="Arial"/>
                <w:sz w:val="21"/>
                <w:szCs w:val="21"/>
                <w:lang w:val="fr-FR"/>
              </w:rPr>
            </w:r>
          </w:p>
        </w:tc>
        <w:tc>
          <w:tcPr>
            <w:tcW w:w="7020" w:type="dxa"/>
            <w:gridSpan w:val="3"/>
            <w:tcBorders/>
          </w:tcPr>
          <w:p>
            <w:pPr>
              <w:pStyle w:val="SubClauseText"/>
              <w:widowControl w:val="false"/>
              <w:numPr>
                <w:ilvl w:val="0"/>
                <w:numId w:val="20"/>
              </w:numPr>
              <w:tabs>
                <w:tab w:val="clear" w:pos="720"/>
                <w:tab w:val="left" w:pos="549" w:leader="none"/>
              </w:tabs>
              <w:spacing w:before="0" w:after="0"/>
              <w:ind w:left="590" w:hanging="576"/>
              <w:rPr>
                <w:rFonts w:ascii="Arial" w:hAnsi="Arial" w:cs="Arial"/>
                <w:bCs/>
                <w:sz w:val="22"/>
                <w:szCs w:val="22"/>
                <w:lang w:val="en-GB"/>
              </w:rPr>
            </w:pPr>
            <w:r>
              <w:rPr>
                <w:rFonts w:cs="Arial" w:ascii="Arial" w:hAnsi="Arial"/>
                <w:bCs/>
                <w:sz w:val="22"/>
                <w:szCs w:val="22"/>
                <w:lang w:val="en-GB"/>
              </w:rPr>
              <w:t xml:space="preserve">The </w:t>
            </w:r>
            <w:r>
              <w:rPr>
                <w:rFonts w:cs="Arial" w:ascii="Arial" w:hAnsi="Arial"/>
                <w:sz w:val="22"/>
                <w:szCs w:val="22"/>
                <w:lang w:val="en-GB"/>
              </w:rPr>
              <w:t>Procuring Entity is not responsible for the completeness of the Tender Document and their addenda, if these were not purchased directly from the Procuring Entity</w:t>
            </w:r>
            <w:r>
              <w:rPr>
                <w:rFonts w:cs="Arial" w:ascii="Arial" w:hAnsi="Arial"/>
                <w:color w:val="3366FF"/>
                <w:sz w:val="22"/>
                <w:szCs w:val="22"/>
                <w:lang w:val="en-GB"/>
              </w:rPr>
              <w:t xml:space="preserve">, </w:t>
            </w:r>
            <w:r>
              <w:rPr>
                <w:rFonts w:cs="Arial" w:ascii="Arial" w:hAnsi="Arial"/>
                <w:sz w:val="22"/>
                <w:szCs w:val="22"/>
                <w:lang w:val="en-GB"/>
              </w:rPr>
              <w:t xml:space="preserve">or through its agent as specified in the </w:t>
            </w:r>
            <w:r>
              <w:rPr>
                <w:rFonts w:cs="Arial" w:ascii="Arial" w:hAnsi="Arial"/>
                <w:b/>
                <w:sz w:val="22"/>
                <w:szCs w:val="22"/>
                <w:lang w:val="en-GB"/>
              </w:rPr>
              <w:t>TDS</w:t>
            </w:r>
          </w:p>
          <w:p>
            <w:pPr>
              <w:pStyle w:val="SubClauseText"/>
              <w:widowControl w:val="false"/>
              <w:tabs>
                <w:tab w:val="clear" w:pos="720"/>
                <w:tab w:val="left" w:pos="549" w:leader="none"/>
              </w:tabs>
              <w:spacing w:before="0" w:after="0"/>
              <w:ind w:left="590" w:hanging="0"/>
              <w:rPr>
                <w:rFonts w:ascii="Arial" w:hAnsi="Arial" w:cs="Arial"/>
                <w:bCs/>
                <w:sz w:val="12"/>
                <w:szCs w:val="12"/>
                <w:lang w:val="en-GB"/>
              </w:rPr>
            </w:pPr>
            <w:r>
              <w:rPr>
                <w:rFonts w:cs="Arial" w:ascii="Arial" w:hAnsi="Arial"/>
                <w:bCs/>
                <w:sz w:val="12"/>
                <w:szCs w:val="12"/>
                <w:lang w:val="en-GB"/>
              </w:rPr>
            </w:r>
          </w:p>
        </w:tc>
      </w:tr>
      <w:tr>
        <w:trPr>
          <w:trHeight w:val="909" w:hRule="atLeast"/>
        </w:trPr>
        <w:tc>
          <w:tcPr>
            <w:tcW w:w="2222" w:type="dxa"/>
            <w:vMerge w:val="continue"/>
            <w:tcBorders/>
            <w:shd w:color="auto" w:fill="auto" w:val="clear"/>
          </w:tcPr>
          <w:p>
            <w:pPr>
              <w:pStyle w:val="Normal"/>
              <w:widowControl w:val="false"/>
              <w:ind w:left="432" w:hanging="432"/>
              <w:rPr>
                <w:rFonts w:ascii="Arial" w:hAnsi="Arial" w:cs="Arial"/>
                <w:sz w:val="21"/>
                <w:szCs w:val="21"/>
              </w:rPr>
            </w:pPr>
            <w:r>
              <w:rPr>
                <w:rFonts w:cs="Arial" w:ascii="Arial" w:hAnsi="Arial"/>
                <w:sz w:val="21"/>
                <w:szCs w:val="21"/>
              </w:rPr>
            </w:r>
          </w:p>
        </w:tc>
        <w:tc>
          <w:tcPr>
            <w:tcW w:w="7020" w:type="dxa"/>
            <w:gridSpan w:val="3"/>
            <w:tcBorders/>
          </w:tcPr>
          <w:p>
            <w:pPr>
              <w:pStyle w:val="SubClauseText"/>
              <w:widowControl w:val="false"/>
              <w:numPr>
                <w:ilvl w:val="0"/>
                <w:numId w:val="20"/>
              </w:numPr>
              <w:tabs>
                <w:tab w:val="clear" w:pos="720"/>
                <w:tab w:val="left" w:pos="558" w:leader="none"/>
              </w:tabs>
              <w:spacing w:before="0" w:after="0"/>
              <w:ind w:left="590" w:hanging="576"/>
              <w:rPr>
                <w:rFonts w:ascii="Arial" w:hAnsi="Arial" w:cs="Arial"/>
                <w:sz w:val="22"/>
                <w:szCs w:val="22"/>
                <w:lang w:val="en-GB"/>
              </w:rPr>
            </w:pPr>
            <w:r>
              <w:rPr>
                <w:rFonts w:cs="Arial" w:ascii="Arial" w:hAnsi="Arial"/>
                <w:sz w:val="22"/>
                <w:szCs w:val="22"/>
                <w:lang w:val="en-GB"/>
              </w:rPr>
              <w:t>Tenderers are expected to examine all instructions, forms, terms, and specifications in the Tender Document as well as in addendum to Tender, if any.</w:t>
            </w:r>
          </w:p>
        </w:tc>
      </w:tr>
      <w:tr>
        <w:trPr/>
        <w:tc>
          <w:tcPr>
            <w:tcW w:w="2222" w:type="dxa"/>
            <w:vMerge w:val="restart"/>
            <w:tcBorders/>
            <w:shd w:color="auto" w:fill="auto" w:val="clear"/>
          </w:tcPr>
          <w:p>
            <w:pPr>
              <w:pStyle w:val="Normal"/>
              <w:widowControl w:val="false"/>
              <w:numPr>
                <w:ilvl w:val="0"/>
                <w:numId w:val="31"/>
              </w:numPr>
              <w:ind w:left="360" w:hanging="346"/>
              <w:outlineLvl w:val="2"/>
              <w:rPr>
                <w:rFonts w:ascii="Arial" w:hAnsi="Arial" w:cs="Arial"/>
                <w:b/>
                <w:b/>
                <w:sz w:val="22"/>
                <w:szCs w:val="22"/>
                <w:lang w:val="fr-FR"/>
              </w:rPr>
            </w:pPr>
            <w:bookmarkStart w:id="99" w:name="_Toc421454196"/>
            <w:r>
              <w:rPr>
                <w:rStyle w:val="Heading3Char"/>
                <w:rFonts w:ascii="Arial" w:hAnsi="Arial"/>
                <w:b/>
                <w:sz w:val="22"/>
                <w:szCs w:val="22"/>
              </w:rPr>
              <w:t>Clarification of Tender Documents</w:t>
            </w:r>
            <w:bookmarkEnd w:id="99"/>
          </w:p>
          <w:p>
            <w:pPr>
              <w:pStyle w:val="Normal"/>
              <w:widowControl w:val="false"/>
              <w:tabs>
                <w:tab w:val="clear" w:pos="720"/>
                <w:tab w:val="left" w:pos="846" w:leader="none"/>
              </w:tabs>
              <w:ind w:left="432" w:hanging="432"/>
              <w:rPr>
                <w:rFonts w:ascii="Arial" w:hAnsi="Arial" w:cs="Arial"/>
                <w:b/>
                <w:b/>
                <w:sz w:val="22"/>
                <w:szCs w:val="22"/>
                <w:lang w:val="fr-FR"/>
              </w:rPr>
            </w:pPr>
            <w:r>
              <w:rPr>
                <w:rFonts w:cs="Arial" w:ascii="Arial" w:hAnsi="Arial"/>
                <w:b/>
                <w:sz w:val="22"/>
                <w:szCs w:val="22"/>
                <w:lang w:val="fr-FR"/>
              </w:rPr>
            </w:r>
          </w:p>
        </w:tc>
        <w:tc>
          <w:tcPr>
            <w:tcW w:w="7020" w:type="dxa"/>
            <w:gridSpan w:val="3"/>
            <w:tcBorders/>
          </w:tcPr>
          <w:p>
            <w:pPr>
              <w:pStyle w:val="SubClauseText"/>
              <w:widowControl w:val="false"/>
              <w:numPr>
                <w:ilvl w:val="0"/>
                <w:numId w:val="21"/>
              </w:numPr>
              <w:tabs>
                <w:tab w:val="clear" w:pos="720"/>
                <w:tab w:val="left" w:pos="558" w:leader="none"/>
              </w:tabs>
              <w:spacing w:before="0" w:after="0"/>
              <w:ind w:left="590" w:hanging="576"/>
              <w:rPr>
                <w:rFonts w:ascii="Arial" w:hAnsi="Arial" w:cs="Arial"/>
                <w:sz w:val="22"/>
                <w:szCs w:val="22"/>
                <w:lang w:val="en-GB"/>
              </w:rPr>
            </w:pPr>
            <w:r>
              <w:rPr>
                <w:rFonts w:eastAsia="SimSun" w:cs="Arial" w:ascii="Arial" w:hAnsi="Arial"/>
                <w:spacing w:val="0"/>
                <w:sz w:val="22"/>
                <w:szCs w:val="22"/>
                <w:lang w:val="en-GB" w:eastAsia="zh-CN"/>
              </w:rPr>
              <w:t xml:space="preserve">A prospective Tenderer requiring any clarification of the Tender Document shall contact the Procuring Entity in writing at the Procuring Entity’s address and within time as specified in the </w:t>
            </w:r>
            <w:r>
              <w:rPr>
                <w:rFonts w:eastAsia="SimSun" w:cs="Arial" w:ascii="Arial" w:hAnsi="Arial"/>
                <w:b/>
                <w:spacing w:val="0"/>
                <w:sz w:val="22"/>
                <w:szCs w:val="22"/>
                <w:lang w:val="en-GB" w:eastAsia="zh-CN"/>
              </w:rPr>
              <w:t>TDS</w:t>
            </w:r>
          </w:p>
          <w:p>
            <w:pPr>
              <w:pStyle w:val="SubClauseText"/>
              <w:widowControl w:val="false"/>
              <w:tabs>
                <w:tab w:val="clear" w:pos="720"/>
                <w:tab w:val="left" w:pos="558" w:leader="none"/>
              </w:tabs>
              <w:spacing w:before="0" w:after="0"/>
              <w:ind w:left="590" w:hanging="0"/>
              <w:rPr>
                <w:rFonts w:ascii="Arial" w:hAnsi="Arial" w:cs="Arial"/>
                <w:sz w:val="2"/>
                <w:szCs w:val="2"/>
                <w:lang w:val="en-GB"/>
              </w:rPr>
            </w:pPr>
            <w:r>
              <w:rPr>
                <w:rFonts w:cs="Arial" w:ascii="Arial" w:hAnsi="Arial"/>
                <w:sz w:val="2"/>
                <w:szCs w:val="2"/>
                <w:lang w:val="en-GB"/>
              </w:rPr>
            </w:r>
          </w:p>
        </w:tc>
      </w:tr>
      <w:tr>
        <w:trPr/>
        <w:tc>
          <w:tcPr>
            <w:tcW w:w="2222" w:type="dxa"/>
            <w:vMerge w:val="continue"/>
            <w:tcBorders/>
          </w:tcPr>
          <w:p>
            <w:pPr>
              <w:pStyle w:val="Normal"/>
              <w:widowControl w:val="false"/>
              <w:tabs>
                <w:tab w:val="clear" w:pos="720"/>
                <w:tab w:val="left" w:pos="846" w:leader="none"/>
              </w:tabs>
              <w:spacing w:before="120" w:after="120"/>
              <w:ind w:left="432" w:hanging="432"/>
              <w:rPr>
                <w:rFonts w:ascii="Arial" w:hAnsi="Arial" w:cs="Arial"/>
                <w:sz w:val="22"/>
                <w:szCs w:val="22"/>
              </w:rPr>
            </w:pPr>
            <w:r>
              <w:rPr>
                <w:rFonts w:cs="Arial" w:ascii="Arial" w:hAnsi="Arial"/>
                <w:sz w:val="22"/>
                <w:szCs w:val="22"/>
              </w:rPr>
            </w:r>
          </w:p>
        </w:tc>
        <w:tc>
          <w:tcPr>
            <w:tcW w:w="7020" w:type="dxa"/>
            <w:gridSpan w:val="3"/>
            <w:tcBorders/>
          </w:tcPr>
          <w:p>
            <w:pPr>
              <w:pStyle w:val="SubClauseText"/>
              <w:widowControl w:val="false"/>
              <w:numPr>
                <w:ilvl w:val="0"/>
                <w:numId w:val="21"/>
              </w:numPr>
              <w:tabs>
                <w:tab w:val="clear" w:pos="720"/>
                <w:tab w:val="left" w:pos="567" w:leader="none"/>
              </w:tabs>
              <w:spacing w:before="80" w:after="40"/>
              <w:ind w:left="585" w:hanging="576"/>
              <w:rPr>
                <w:rFonts w:ascii="Arial" w:hAnsi="Arial" w:cs="Arial"/>
                <w:sz w:val="22"/>
                <w:szCs w:val="22"/>
                <w:lang w:val="en-GB"/>
              </w:rPr>
            </w:pPr>
            <w:r>
              <w:rPr>
                <w:rFonts w:cs="Arial" w:ascii="Arial" w:hAnsi="Arial"/>
                <w:sz w:val="22"/>
                <w:szCs w:val="22"/>
                <w:lang w:val="en-GB"/>
              </w:rPr>
              <w:t>The Procuring Entity is not obliged to answer any clarification received after that date requested under ITT Subclause 9.1.</w:t>
            </w:r>
          </w:p>
        </w:tc>
      </w:tr>
      <w:tr>
        <w:trPr/>
        <w:tc>
          <w:tcPr>
            <w:tcW w:w="2222" w:type="dxa"/>
            <w:vMerge w:val="continue"/>
            <w:tcBorders/>
          </w:tcPr>
          <w:p>
            <w:pPr>
              <w:pStyle w:val="Normal"/>
              <w:widowControl w:val="false"/>
              <w:tabs>
                <w:tab w:val="clear" w:pos="720"/>
                <w:tab w:val="left" w:pos="846" w:leader="none"/>
              </w:tabs>
              <w:spacing w:before="120" w:after="120"/>
              <w:ind w:left="432" w:hanging="432"/>
              <w:rPr>
                <w:rFonts w:ascii="Arial" w:hAnsi="Arial" w:cs="Arial"/>
                <w:sz w:val="22"/>
                <w:szCs w:val="22"/>
              </w:rPr>
            </w:pPr>
            <w:r>
              <w:rPr>
                <w:rFonts w:cs="Arial" w:ascii="Arial" w:hAnsi="Arial"/>
                <w:sz w:val="22"/>
                <w:szCs w:val="22"/>
              </w:rPr>
            </w:r>
          </w:p>
        </w:tc>
        <w:tc>
          <w:tcPr>
            <w:tcW w:w="7020" w:type="dxa"/>
            <w:gridSpan w:val="3"/>
            <w:tcBorders/>
          </w:tcPr>
          <w:p>
            <w:pPr>
              <w:pStyle w:val="SubClauseText"/>
              <w:widowControl w:val="false"/>
              <w:numPr>
                <w:ilvl w:val="0"/>
                <w:numId w:val="21"/>
              </w:numPr>
              <w:tabs>
                <w:tab w:val="clear" w:pos="720"/>
                <w:tab w:val="left" w:pos="567" w:leader="none"/>
              </w:tabs>
              <w:spacing w:before="80" w:after="40"/>
              <w:ind w:left="585" w:hanging="576"/>
              <w:rPr>
                <w:rFonts w:ascii="Arial" w:hAnsi="Arial" w:cs="Arial"/>
                <w:sz w:val="22"/>
                <w:szCs w:val="22"/>
                <w:lang w:val="en-GB"/>
              </w:rPr>
            </w:pPr>
            <w:r>
              <w:rPr>
                <w:rFonts w:cs="Arial" w:ascii="Arial" w:hAnsi="Arial"/>
                <w:sz w:val="22"/>
                <w:szCs w:val="22"/>
                <w:lang w:val="en-GB"/>
              </w:rPr>
              <w:t>The Procuring Entity shall respond in writing within five (5) working days of receipt of any such request for clarification received under ITT Sub-Clause 9.1</w:t>
            </w:r>
          </w:p>
        </w:tc>
      </w:tr>
      <w:tr>
        <w:trPr/>
        <w:tc>
          <w:tcPr>
            <w:tcW w:w="2222" w:type="dxa"/>
            <w:vMerge w:val="continue"/>
            <w:tcBorders/>
          </w:tcPr>
          <w:p>
            <w:pPr>
              <w:pStyle w:val="Normal"/>
              <w:widowControl w:val="false"/>
              <w:tabs>
                <w:tab w:val="clear" w:pos="720"/>
                <w:tab w:val="left" w:pos="846" w:leader="none"/>
              </w:tabs>
              <w:spacing w:before="120" w:after="120"/>
              <w:ind w:left="432" w:hanging="432"/>
              <w:rPr>
                <w:rFonts w:ascii="Arial" w:hAnsi="Arial" w:cs="Arial"/>
                <w:sz w:val="22"/>
                <w:szCs w:val="22"/>
              </w:rPr>
            </w:pPr>
            <w:r>
              <w:rPr>
                <w:rFonts w:cs="Arial" w:ascii="Arial" w:hAnsi="Arial"/>
                <w:sz w:val="22"/>
                <w:szCs w:val="22"/>
              </w:rPr>
            </w:r>
          </w:p>
        </w:tc>
        <w:tc>
          <w:tcPr>
            <w:tcW w:w="7020" w:type="dxa"/>
            <w:gridSpan w:val="3"/>
            <w:tcBorders/>
          </w:tcPr>
          <w:p>
            <w:pPr>
              <w:pStyle w:val="SubClauseText"/>
              <w:widowControl w:val="false"/>
              <w:numPr>
                <w:ilvl w:val="0"/>
                <w:numId w:val="21"/>
              </w:numPr>
              <w:tabs>
                <w:tab w:val="clear" w:pos="720"/>
                <w:tab w:val="left" w:pos="567" w:leader="none"/>
              </w:tabs>
              <w:spacing w:before="80" w:after="40"/>
              <w:ind w:left="585" w:hanging="576"/>
              <w:rPr>
                <w:rFonts w:ascii="Arial" w:hAnsi="Arial" w:cs="Arial"/>
                <w:sz w:val="22"/>
                <w:szCs w:val="22"/>
                <w:lang w:val="en-GB"/>
              </w:rPr>
            </w:pPr>
            <w:r>
              <w:rPr>
                <w:rFonts w:cs="Arial" w:ascii="Arial" w:hAnsi="Arial"/>
                <w:sz w:val="22"/>
                <w:szCs w:val="22"/>
              </w:rPr>
              <w:t xml:space="preserve">The </w:t>
            </w:r>
            <w:r>
              <w:rPr>
                <w:rFonts w:cs="Arial" w:ascii="Arial" w:hAnsi="Arial"/>
                <w:sz w:val="22"/>
                <w:szCs w:val="22"/>
                <w:lang w:val="en-GB"/>
              </w:rPr>
              <w:t>Procuring Entity shall forward copies of its response to all those who have purchased the Tender Document, including a description of the enquiry but without identifying its source.</w:t>
            </w:r>
          </w:p>
        </w:tc>
      </w:tr>
      <w:tr>
        <w:trPr>
          <w:trHeight w:val="810" w:hRule="atLeast"/>
        </w:trPr>
        <w:tc>
          <w:tcPr>
            <w:tcW w:w="2222" w:type="dxa"/>
            <w:vMerge w:val="continue"/>
            <w:tcBorders/>
          </w:tcPr>
          <w:p>
            <w:pPr>
              <w:pStyle w:val="Normal"/>
              <w:widowControl w:val="false"/>
              <w:tabs>
                <w:tab w:val="clear" w:pos="720"/>
                <w:tab w:val="left" w:pos="846" w:leader="none"/>
              </w:tabs>
              <w:spacing w:before="120" w:after="120"/>
              <w:ind w:left="432" w:hanging="432"/>
              <w:rPr>
                <w:rFonts w:ascii="Arial" w:hAnsi="Arial" w:cs="Arial"/>
                <w:sz w:val="22"/>
                <w:szCs w:val="22"/>
              </w:rPr>
            </w:pPr>
            <w:r>
              <w:rPr>
                <w:rFonts w:cs="Arial" w:ascii="Arial" w:hAnsi="Arial"/>
                <w:sz w:val="22"/>
                <w:szCs w:val="22"/>
              </w:rPr>
            </w:r>
          </w:p>
        </w:tc>
        <w:tc>
          <w:tcPr>
            <w:tcW w:w="7020" w:type="dxa"/>
            <w:gridSpan w:val="3"/>
            <w:tcBorders/>
          </w:tcPr>
          <w:p>
            <w:pPr>
              <w:pStyle w:val="SubClauseText"/>
              <w:widowControl w:val="false"/>
              <w:numPr>
                <w:ilvl w:val="0"/>
                <w:numId w:val="21"/>
              </w:numPr>
              <w:tabs>
                <w:tab w:val="clear" w:pos="720"/>
                <w:tab w:val="left" w:pos="675" w:leader="none"/>
              </w:tabs>
              <w:spacing w:before="40" w:after="40"/>
              <w:ind w:left="693" w:hanging="576"/>
              <w:rPr>
                <w:rFonts w:ascii="Arial" w:hAnsi="Arial" w:cs="Arial"/>
                <w:sz w:val="22"/>
                <w:szCs w:val="22"/>
                <w:lang w:val="en-GB"/>
              </w:rPr>
            </w:pPr>
            <w:r>
              <w:rPr>
                <w:rFonts w:cs="Arial" w:ascii="Arial" w:hAnsi="Arial"/>
                <w:sz w:val="22"/>
                <w:szCs w:val="22"/>
                <w:lang w:val="en-GB"/>
              </w:rPr>
              <w:t>Should the Procuring Entity deem it necessary to amend the Tender Document as a result of a clarification, it shall do so following the procedure under ITT Clause 11.</w:t>
            </w:r>
          </w:p>
        </w:tc>
      </w:tr>
      <w:tr>
        <w:trPr/>
        <w:tc>
          <w:tcPr>
            <w:tcW w:w="2222" w:type="dxa"/>
            <w:vMerge w:val="restart"/>
            <w:tcBorders/>
            <w:shd w:color="auto" w:fill="auto" w:val="clear"/>
          </w:tcPr>
          <w:p>
            <w:pPr>
              <w:pStyle w:val="Normal"/>
              <w:widowControl w:val="false"/>
              <w:numPr>
                <w:ilvl w:val="0"/>
                <w:numId w:val="31"/>
              </w:numPr>
              <w:spacing w:before="80" w:after="80"/>
              <w:ind w:left="360" w:hanging="346"/>
              <w:outlineLvl w:val="2"/>
              <w:rPr>
                <w:rFonts w:ascii="Arial" w:hAnsi="Arial" w:cs="Arial"/>
                <w:b/>
                <w:b/>
                <w:sz w:val="22"/>
                <w:szCs w:val="22"/>
                <w:lang w:val="en-GB"/>
              </w:rPr>
            </w:pPr>
            <w:bookmarkStart w:id="100" w:name="_Toc49504195"/>
            <w:bookmarkStart w:id="101" w:name="_Toc49504629"/>
            <w:bookmarkStart w:id="102" w:name="_Toc49504748"/>
            <w:bookmarkStart w:id="103" w:name="_Toc49569765"/>
            <w:bookmarkStart w:id="104" w:name="_Toc49591327"/>
            <w:bookmarkStart w:id="105" w:name="_Toc49591675"/>
            <w:bookmarkStart w:id="106" w:name="_Toc421454197"/>
            <w:r>
              <w:rPr>
                <w:rStyle w:val="Heading3Char"/>
                <w:rFonts w:ascii="Arial" w:hAnsi="Arial"/>
                <w:b/>
                <w:sz w:val="22"/>
                <w:szCs w:val="22"/>
              </w:rPr>
              <w:t>Pre-Tender Meeting</w:t>
            </w:r>
            <w:bookmarkEnd w:id="100"/>
            <w:bookmarkEnd w:id="101"/>
            <w:bookmarkEnd w:id="102"/>
            <w:bookmarkEnd w:id="103"/>
            <w:bookmarkEnd w:id="104"/>
            <w:bookmarkEnd w:id="105"/>
            <w:bookmarkEnd w:id="106"/>
          </w:p>
        </w:tc>
        <w:tc>
          <w:tcPr>
            <w:tcW w:w="7020" w:type="dxa"/>
            <w:gridSpan w:val="3"/>
            <w:tcBorders/>
          </w:tcPr>
          <w:p>
            <w:pPr>
              <w:pStyle w:val="SubClauseText"/>
              <w:widowControl w:val="false"/>
              <w:numPr>
                <w:ilvl w:val="0"/>
                <w:numId w:val="100"/>
              </w:numPr>
              <w:tabs>
                <w:tab w:val="clear" w:pos="720"/>
              </w:tabs>
              <w:spacing w:before="40" w:after="40"/>
              <w:ind w:left="619" w:hanging="619"/>
              <w:rPr>
                <w:rFonts w:ascii="Arial" w:hAnsi="Arial" w:cs="Arial"/>
                <w:sz w:val="22"/>
                <w:szCs w:val="22"/>
                <w:lang w:val="en-GB"/>
              </w:rPr>
            </w:pPr>
            <w:r>
              <w:rPr>
                <w:rFonts w:cs="Arial" w:ascii="Arial" w:hAnsi="Arial"/>
                <w:sz w:val="22"/>
                <w:szCs w:val="22"/>
                <w:lang w:val="en-GB"/>
              </w:rPr>
              <w:t xml:space="preserve">To clarify issues and to answer questions on any matter arising in the Tender Document, the Procuring Entity may, if stated in the </w:t>
            </w:r>
            <w:r>
              <w:rPr>
                <w:rFonts w:cs="Arial" w:ascii="Arial" w:hAnsi="Arial"/>
                <w:b/>
                <w:sz w:val="22"/>
                <w:szCs w:val="22"/>
                <w:lang w:val="en-GB"/>
              </w:rPr>
              <w:t>TDS</w:t>
            </w:r>
            <w:r>
              <w:rPr>
                <w:rFonts w:cs="Arial" w:ascii="Arial" w:hAnsi="Arial"/>
                <w:sz w:val="22"/>
                <w:szCs w:val="22"/>
                <w:lang w:val="en-GB"/>
              </w:rPr>
              <w:t xml:space="preserve">, hold a pre-Tender Meeting at the place, date and time as specified in the </w:t>
            </w:r>
            <w:r>
              <w:rPr>
                <w:rFonts w:cs="Arial" w:ascii="Arial" w:hAnsi="Arial"/>
                <w:b/>
                <w:sz w:val="22"/>
                <w:szCs w:val="22"/>
                <w:lang w:val="en-GB"/>
              </w:rPr>
              <w:t>TDS</w:t>
            </w:r>
            <w:r>
              <w:rPr>
                <w:rFonts w:cs="Arial" w:ascii="Arial" w:hAnsi="Arial"/>
                <w:sz w:val="22"/>
                <w:szCs w:val="22"/>
                <w:lang w:val="en-GB"/>
              </w:rPr>
              <w:t>. All Potential Tenderers are encouraged to attend the meeting, if it is held.</w:t>
            </w:r>
          </w:p>
        </w:tc>
      </w:tr>
      <w:tr>
        <w:trPr/>
        <w:tc>
          <w:tcPr>
            <w:tcW w:w="2222" w:type="dxa"/>
            <w:vMerge w:val="continue"/>
            <w:tcBorders/>
            <w:shd w:color="auto" w:fill="auto" w:val="clear"/>
          </w:tcPr>
          <w:p>
            <w:pPr>
              <w:pStyle w:val="Normal"/>
              <w:widowControl w:val="false"/>
              <w:spacing w:before="120" w:after="120"/>
              <w:ind w:left="432" w:hanging="432"/>
              <w:rPr>
                <w:rFonts w:ascii="Arial" w:hAnsi="Arial" w:cs="Arial"/>
                <w:sz w:val="22"/>
                <w:szCs w:val="22"/>
                <w:lang w:val="en-GB"/>
              </w:rPr>
            </w:pPr>
            <w:r>
              <w:rPr>
                <w:rFonts w:cs="Arial" w:ascii="Arial" w:hAnsi="Arial"/>
                <w:sz w:val="22"/>
                <w:szCs w:val="22"/>
                <w:lang w:val="en-GB"/>
              </w:rPr>
            </w:r>
          </w:p>
        </w:tc>
        <w:tc>
          <w:tcPr>
            <w:tcW w:w="7020" w:type="dxa"/>
            <w:gridSpan w:val="3"/>
            <w:tcBorders/>
          </w:tcPr>
          <w:p>
            <w:pPr>
              <w:pStyle w:val="SubClauseText"/>
              <w:widowControl w:val="false"/>
              <w:numPr>
                <w:ilvl w:val="0"/>
                <w:numId w:val="100"/>
              </w:numPr>
              <w:tabs>
                <w:tab w:val="clear" w:pos="720"/>
              </w:tabs>
              <w:spacing w:before="40" w:after="40"/>
              <w:ind w:left="619" w:hanging="619"/>
              <w:rPr>
                <w:rFonts w:ascii="Arial" w:hAnsi="Arial" w:cs="Arial"/>
                <w:sz w:val="22"/>
                <w:szCs w:val="22"/>
                <w:lang w:val="en-GB"/>
              </w:rPr>
            </w:pPr>
            <w:r>
              <w:rPr>
                <w:rFonts w:cs="Arial" w:ascii="Arial" w:hAnsi="Arial"/>
                <w:sz w:val="22"/>
                <w:szCs w:val="22"/>
                <w:lang w:val="en-GB"/>
              </w:rPr>
              <w:t>Tenderers are requested to submit any questions in writing so as to reach the Procuring Entity not later than one day prior to the date of the meeting.</w:t>
            </w:r>
          </w:p>
        </w:tc>
      </w:tr>
      <w:tr>
        <w:trPr/>
        <w:tc>
          <w:tcPr>
            <w:tcW w:w="2222" w:type="dxa"/>
            <w:vMerge w:val="continue"/>
            <w:tcBorders/>
            <w:shd w:color="auto" w:fill="auto" w:val="clear"/>
          </w:tcPr>
          <w:p>
            <w:pPr>
              <w:pStyle w:val="Normal"/>
              <w:widowControl w:val="false"/>
              <w:spacing w:before="120" w:after="120"/>
              <w:ind w:left="432" w:hanging="432"/>
              <w:rPr>
                <w:rFonts w:ascii="Arial" w:hAnsi="Arial" w:cs="Arial"/>
                <w:sz w:val="22"/>
                <w:szCs w:val="22"/>
                <w:lang w:val="en-GB"/>
              </w:rPr>
            </w:pPr>
            <w:r>
              <w:rPr>
                <w:rFonts w:cs="Arial" w:ascii="Arial" w:hAnsi="Arial"/>
                <w:sz w:val="22"/>
                <w:szCs w:val="22"/>
                <w:lang w:val="en-GB"/>
              </w:rPr>
            </w:r>
          </w:p>
        </w:tc>
        <w:tc>
          <w:tcPr>
            <w:tcW w:w="7020" w:type="dxa"/>
            <w:gridSpan w:val="3"/>
            <w:tcBorders/>
          </w:tcPr>
          <w:p>
            <w:pPr>
              <w:pStyle w:val="SubClauseText"/>
              <w:widowControl w:val="false"/>
              <w:numPr>
                <w:ilvl w:val="0"/>
                <w:numId w:val="100"/>
              </w:numPr>
              <w:tabs>
                <w:tab w:val="clear" w:pos="720"/>
              </w:tabs>
              <w:spacing w:before="40" w:after="40"/>
              <w:ind w:left="619" w:hanging="619"/>
              <w:rPr>
                <w:rFonts w:ascii="Arial" w:hAnsi="Arial" w:cs="Arial"/>
                <w:sz w:val="22"/>
                <w:szCs w:val="22"/>
                <w:lang w:val="en-GB"/>
              </w:rPr>
            </w:pPr>
            <w:r>
              <w:rPr>
                <w:rFonts w:cs="Arial" w:ascii="Arial" w:hAnsi="Arial"/>
                <w:sz w:val="22"/>
                <w:szCs w:val="22"/>
                <w:lang w:val="en-GB"/>
              </w:rPr>
              <w:t>Minutes of the pre-Tender meeting, including the text of the questions raised and the responses given, together with any responses prepared after the meeting, will be transmitted within five (5)working  days after holding the meeting to all those who purchased the Tender document and to even those who did not attend the meeting. Any revision to the Tender Document listed in IT Subclause 8.1 that may become necessary as a result of the pre-Tender meeting will be made by the Procuring Entity exclusively through the issue of an Addendum pursuant to ITT Sub Clause 11 and not through the minutes of the pre-Tender meeting.</w:t>
            </w:r>
          </w:p>
        </w:tc>
      </w:tr>
      <w:tr>
        <w:trPr/>
        <w:tc>
          <w:tcPr>
            <w:tcW w:w="2222" w:type="dxa"/>
            <w:vMerge w:val="continue"/>
            <w:tcBorders/>
            <w:shd w:color="auto" w:fill="auto" w:val="clear"/>
          </w:tcPr>
          <w:p>
            <w:pPr>
              <w:pStyle w:val="Normal"/>
              <w:widowControl w:val="false"/>
              <w:spacing w:before="120" w:after="120"/>
              <w:ind w:left="432" w:hanging="432"/>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100"/>
              </w:numPr>
              <w:tabs>
                <w:tab w:val="clear" w:pos="720"/>
              </w:tabs>
              <w:spacing w:before="40" w:after="40"/>
              <w:ind w:left="619" w:hanging="619"/>
              <w:rPr>
                <w:rFonts w:ascii="Arial" w:hAnsi="Arial" w:cs="Arial"/>
                <w:sz w:val="22"/>
                <w:szCs w:val="22"/>
                <w:lang w:val="en-GB"/>
              </w:rPr>
            </w:pPr>
            <w:r>
              <w:rPr>
                <w:rFonts w:cs="Arial" w:ascii="Arial" w:hAnsi="Arial"/>
                <w:sz w:val="22"/>
                <w:szCs w:val="22"/>
                <w:lang w:val="en-GB"/>
              </w:rPr>
              <w:t>Non-attendance at the pre-Tender meeting will not be a cause for disqualification of a Tenderer.</w:t>
            </w:r>
          </w:p>
        </w:tc>
      </w:tr>
      <w:tr>
        <w:trPr/>
        <w:tc>
          <w:tcPr>
            <w:tcW w:w="2222" w:type="dxa"/>
            <w:vMerge w:val="restart"/>
            <w:tcBorders/>
            <w:shd w:color="auto" w:fill="auto" w:val="clear"/>
          </w:tcPr>
          <w:p>
            <w:pPr>
              <w:pStyle w:val="Normal"/>
              <w:widowControl w:val="false"/>
              <w:numPr>
                <w:ilvl w:val="0"/>
                <w:numId w:val="31"/>
              </w:numPr>
              <w:spacing w:before="80" w:after="80"/>
              <w:ind w:left="360" w:hanging="346"/>
              <w:outlineLvl w:val="2"/>
              <w:rPr>
                <w:rFonts w:ascii="Arial" w:hAnsi="Arial" w:cs="Arial"/>
                <w:b/>
                <w:b/>
                <w:sz w:val="22"/>
                <w:szCs w:val="22"/>
                <w:lang w:val="fr-FR"/>
              </w:rPr>
            </w:pPr>
            <w:bookmarkStart w:id="107" w:name="_Toc421454198"/>
            <w:r>
              <w:rPr>
                <w:rStyle w:val="Heading3Char"/>
                <w:rFonts w:ascii="Arial" w:hAnsi="Arial"/>
                <w:b/>
                <w:sz w:val="22"/>
                <w:szCs w:val="22"/>
              </w:rPr>
              <w:t>Addendum to Tender Documents</w:t>
            </w:r>
            <w:bookmarkEnd w:id="107"/>
          </w:p>
        </w:tc>
        <w:tc>
          <w:tcPr>
            <w:tcW w:w="7020" w:type="dxa"/>
            <w:gridSpan w:val="3"/>
            <w:tcBorders/>
          </w:tcPr>
          <w:p>
            <w:pPr>
              <w:pStyle w:val="SubClauseText"/>
              <w:widowControl w:val="false"/>
              <w:numPr>
                <w:ilvl w:val="2"/>
                <w:numId w:val="6"/>
              </w:numPr>
              <w:tabs>
                <w:tab w:val="clear" w:pos="720"/>
              </w:tabs>
              <w:spacing w:before="40" w:after="40"/>
              <w:ind w:left="585" w:hanging="576"/>
              <w:rPr>
                <w:rFonts w:ascii="Arial" w:hAnsi="Arial" w:cs="Arial"/>
                <w:sz w:val="22"/>
                <w:szCs w:val="22"/>
                <w:lang w:val="en-GB"/>
              </w:rPr>
            </w:pPr>
            <w:r>
              <w:rPr>
                <w:rFonts w:cs="Arial" w:ascii="Arial" w:hAnsi="Arial"/>
                <w:sz w:val="22"/>
                <w:szCs w:val="22"/>
                <w:lang w:val="en-GB"/>
              </w:rPr>
              <w:t>At any time prior to the deadline for submission of Tenders, the Procuring Entity on its own initiative or in response to a clarification request in writing from a Tenderer, having purchased the Tender Document or as a result of a pre-Tender meeting, may revise the Tender Document by issuing an Addendum.</w:t>
            </w:r>
          </w:p>
        </w:tc>
      </w:tr>
      <w:tr>
        <w:trPr>
          <w:trHeight w:val="1548" w:hRule="atLeast"/>
        </w:trPr>
        <w:tc>
          <w:tcPr>
            <w:tcW w:w="2222" w:type="dxa"/>
            <w:vMerge w:val="continue"/>
            <w:tcBorders/>
            <w:shd w:color="auto" w:fill="auto" w:val="clear"/>
          </w:tcPr>
          <w:p>
            <w:pPr>
              <w:pStyle w:val="Normal"/>
              <w:widowControl w:val="false"/>
              <w:spacing w:before="120" w:after="120"/>
              <w:rPr>
                <w:rFonts w:ascii="Arial" w:hAnsi="Arial" w:cs="Arial"/>
                <w:sz w:val="22"/>
                <w:szCs w:val="22"/>
              </w:rPr>
            </w:pPr>
            <w:r>
              <w:rPr>
                <w:rFonts w:cs="Arial" w:ascii="Arial" w:hAnsi="Arial"/>
                <w:sz w:val="22"/>
                <w:szCs w:val="22"/>
              </w:rPr>
            </w:r>
          </w:p>
        </w:tc>
        <w:tc>
          <w:tcPr>
            <w:tcW w:w="7020" w:type="dxa"/>
            <w:gridSpan w:val="3"/>
            <w:tcBorders/>
          </w:tcPr>
          <w:p>
            <w:pPr>
              <w:pStyle w:val="Normal"/>
              <w:widowControl w:val="false"/>
              <w:numPr>
                <w:ilvl w:val="2"/>
                <w:numId w:val="6"/>
              </w:numPr>
              <w:tabs>
                <w:tab w:val="clear" w:pos="720"/>
              </w:tabs>
              <w:spacing w:before="40" w:after="40"/>
              <w:ind w:left="585" w:hanging="576"/>
              <w:jc w:val="both"/>
              <w:rPr>
                <w:rFonts w:ascii="Arial" w:hAnsi="Arial" w:cs="Arial"/>
                <w:sz w:val="22"/>
                <w:szCs w:val="22"/>
              </w:rPr>
            </w:pPr>
            <w:r>
              <w:rPr>
                <w:rFonts w:cs="Arial" w:ascii="Arial" w:hAnsi="Arial"/>
                <w:sz w:val="22"/>
                <w:szCs w:val="22"/>
              </w:rPr>
              <w:t>The Addendum issued under ITT Subclause 11.1 shall become an integral part of the Tender Document and shall have a date and an issue number and shall be circulated by fax, mail or e-mail, to Tenderers who have purchased the Tender Documents within five (5) working days of issuance of such Addendum, to enable Tenderers to take appropriate action.</w:t>
            </w:r>
          </w:p>
        </w:tc>
      </w:tr>
      <w:tr>
        <w:trPr>
          <w:trHeight w:val="180" w:hRule="atLeast"/>
        </w:trPr>
        <w:tc>
          <w:tcPr>
            <w:tcW w:w="2222" w:type="dxa"/>
            <w:vMerge w:val="continue"/>
            <w:tcBorders/>
            <w:shd w:color="auto" w:fill="auto" w:val="clear"/>
          </w:tcPr>
          <w:p>
            <w:pPr>
              <w:pStyle w:val="Normal"/>
              <w:widowControl w:val="false"/>
              <w:spacing w:before="120" w:after="120"/>
              <w:rPr>
                <w:rFonts w:ascii="Arial" w:hAnsi="Arial" w:cs="Arial"/>
                <w:sz w:val="21"/>
                <w:szCs w:val="21"/>
              </w:rPr>
            </w:pPr>
            <w:r>
              <w:rPr>
                <w:rFonts w:cs="Arial" w:ascii="Arial" w:hAnsi="Arial"/>
                <w:sz w:val="21"/>
                <w:szCs w:val="21"/>
              </w:rPr>
            </w:r>
          </w:p>
        </w:tc>
        <w:tc>
          <w:tcPr>
            <w:tcW w:w="7020" w:type="dxa"/>
            <w:gridSpan w:val="3"/>
            <w:tcBorders/>
          </w:tcPr>
          <w:p>
            <w:pPr>
              <w:pStyle w:val="Normal"/>
              <w:widowControl w:val="false"/>
              <w:numPr>
                <w:ilvl w:val="2"/>
                <w:numId w:val="6"/>
              </w:numPr>
              <w:tabs>
                <w:tab w:val="clear" w:pos="720"/>
              </w:tabs>
              <w:spacing w:before="40" w:after="40"/>
              <w:ind w:left="590" w:hanging="576"/>
              <w:jc w:val="both"/>
              <w:rPr>
                <w:rFonts w:ascii="Arial" w:hAnsi="Arial" w:eastAsia="Times New Roman" w:cs="Arial"/>
                <w:spacing w:val="-4"/>
                <w:sz w:val="22"/>
                <w:szCs w:val="22"/>
                <w:lang w:eastAsia="en-US"/>
              </w:rPr>
            </w:pPr>
            <w:r>
              <w:rPr>
                <w:rFonts w:cs="Arial" w:ascii="Arial" w:hAnsi="Arial"/>
                <w:sz w:val="22"/>
                <w:szCs w:val="22"/>
                <w:lang w:val="en-GB"/>
              </w:rPr>
              <w:t>The Procuring Entity shall also ensure posting of the relevant addenda with the reference number and date on their websites including notice boards. where the Procuring Entity had originally posted the IFTs</w:t>
            </w:r>
          </w:p>
        </w:tc>
      </w:tr>
      <w:tr>
        <w:trPr>
          <w:trHeight w:val="1278" w:hRule="atLeast"/>
        </w:trPr>
        <w:tc>
          <w:tcPr>
            <w:tcW w:w="2222" w:type="dxa"/>
            <w:vMerge w:val="continue"/>
            <w:tcBorders/>
            <w:shd w:color="auto" w:fill="auto" w:val="clear"/>
          </w:tcPr>
          <w:p>
            <w:pPr>
              <w:pStyle w:val="Normal"/>
              <w:widowControl w:val="false"/>
              <w:spacing w:before="120" w:after="120"/>
              <w:rPr>
                <w:rFonts w:ascii="Arial" w:hAnsi="Arial" w:cs="Arial"/>
                <w:sz w:val="21"/>
                <w:szCs w:val="21"/>
              </w:rPr>
            </w:pPr>
            <w:r>
              <w:rPr>
                <w:rFonts w:cs="Arial" w:ascii="Arial" w:hAnsi="Arial"/>
                <w:sz w:val="21"/>
                <w:szCs w:val="21"/>
              </w:rPr>
            </w:r>
          </w:p>
        </w:tc>
        <w:tc>
          <w:tcPr>
            <w:tcW w:w="7020" w:type="dxa"/>
            <w:gridSpan w:val="3"/>
            <w:tcBorders/>
          </w:tcPr>
          <w:p>
            <w:pPr>
              <w:pStyle w:val="Normal"/>
              <w:widowControl w:val="false"/>
              <w:numPr>
                <w:ilvl w:val="2"/>
                <w:numId w:val="6"/>
              </w:numPr>
              <w:tabs>
                <w:tab w:val="clear" w:pos="720"/>
              </w:tabs>
              <w:spacing w:lineRule="exact" w:line="240" w:before="40" w:after="40"/>
              <w:ind w:left="590" w:hanging="576"/>
              <w:jc w:val="both"/>
              <w:rPr>
                <w:rFonts w:ascii="Arial" w:hAnsi="Arial" w:cs="Arial"/>
                <w:sz w:val="22"/>
                <w:szCs w:val="22"/>
                <w:lang w:val="en-GB"/>
              </w:rPr>
            </w:pPr>
            <w:r>
              <w:rPr>
                <w:rFonts w:cs="Arial" w:ascii="Arial" w:hAnsi="Arial"/>
                <w:sz w:val="22"/>
                <w:szCs w:val="22"/>
                <w:lang w:val="en-GB"/>
              </w:rPr>
              <w:t>To give a prospective Tenderer reasonable time in which to take an amendment into account in preparing its Tender, the Procuring Entity may, at its discretion, extend the deadline for the submission of Tenders, pursuant to ITT Clause 37.2.</w:t>
            </w:r>
          </w:p>
        </w:tc>
      </w:tr>
      <w:tr>
        <w:trPr>
          <w:trHeight w:val="1278" w:hRule="atLeast"/>
        </w:trPr>
        <w:tc>
          <w:tcPr>
            <w:tcW w:w="2222" w:type="dxa"/>
            <w:vMerge w:val="continue"/>
            <w:tcBorders/>
            <w:shd w:color="auto" w:fill="auto" w:val="clear"/>
          </w:tcPr>
          <w:p>
            <w:pPr>
              <w:pStyle w:val="Normal"/>
              <w:widowControl w:val="false"/>
              <w:spacing w:before="120" w:after="120"/>
              <w:rPr>
                <w:rFonts w:ascii="Arial" w:hAnsi="Arial" w:cs="Arial"/>
                <w:sz w:val="21"/>
                <w:szCs w:val="21"/>
              </w:rPr>
            </w:pPr>
            <w:r>
              <w:rPr>
                <w:rFonts w:cs="Arial" w:ascii="Arial" w:hAnsi="Arial"/>
                <w:sz w:val="21"/>
                <w:szCs w:val="21"/>
              </w:rPr>
            </w:r>
          </w:p>
        </w:tc>
        <w:tc>
          <w:tcPr>
            <w:tcW w:w="7020" w:type="dxa"/>
            <w:gridSpan w:val="3"/>
            <w:tcBorders/>
          </w:tcPr>
          <w:p>
            <w:pPr>
              <w:pStyle w:val="Normal"/>
              <w:widowControl w:val="false"/>
              <w:numPr>
                <w:ilvl w:val="2"/>
                <w:numId w:val="6"/>
              </w:numPr>
              <w:tabs>
                <w:tab w:val="clear" w:pos="720"/>
              </w:tabs>
              <w:spacing w:lineRule="exact" w:line="240" w:before="40" w:after="40"/>
              <w:ind w:left="590" w:hanging="576"/>
              <w:jc w:val="both"/>
              <w:rPr>
                <w:rFonts w:ascii="Arial" w:hAnsi="Arial" w:cs="Arial"/>
                <w:sz w:val="22"/>
                <w:szCs w:val="22"/>
              </w:rPr>
            </w:pPr>
            <w:r>
              <w:rPr>
                <w:rFonts w:cs="Arial" w:ascii="Arial" w:hAnsi="Arial"/>
                <w:sz w:val="22"/>
                <w:szCs w:val="22"/>
                <w:lang w:val="en-GB"/>
              </w:rPr>
              <w:t>If</w:t>
            </w:r>
            <w:r>
              <w:rPr>
                <w:rFonts w:cs="Arial" w:ascii="Arial" w:hAnsi="Arial"/>
                <w:sz w:val="22"/>
                <w:szCs w:val="22"/>
              </w:rPr>
              <w:t xml:space="preserve"> an Addendum is issued when time remaining is less than </w:t>
            </w:r>
            <w:r>
              <w:rPr>
                <w:rFonts w:cs="Arial" w:ascii="Arial" w:hAnsi="Arial"/>
                <w:b/>
                <w:sz w:val="22"/>
                <w:szCs w:val="22"/>
              </w:rPr>
              <w:t xml:space="preserve">one-third </w:t>
            </w:r>
            <w:r>
              <w:rPr>
                <w:rFonts w:cs="Arial" w:ascii="Arial" w:hAnsi="Arial"/>
                <w:sz w:val="22"/>
                <w:szCs w:val="22"/>
              </w:rPr>
              <w:t>of the time allowed for the preparation of Tenders, the Procuring Entity shall extend the deadline by an appropriate number of days for the submission of Tenders</w:t>
            </w:r>
            <w:r>
              <w:fldChar w:fldCharType="begin"/>
            </w:r>
            <w:r>
              <w:rPr>
                <w:sz w:val="22"/>
                <w:szCs w:val="22"/>
                <w:rFonts w:cs="Arial" w:ascii="Arial" w:hAnsi="Arial"/>
              </w:rPr>
              <w:instrText> XE "deadline for the submission of Tenders: : " </w:instrText>
            </w:r>
            <w:r>
              <w:rPr>
                <w:sz w:val="22"/>
                <w:szCs w:val="22"/>
                <w:rFonts w:cs="Arial" w:ascii="Arial" w:hAnsi="Arial"/>
              </w:rPr>
              <w:fldChar w:fldCharType="separate"/>
            </w:r>
            <w:r>
              <w:rPr>
                <w:rFonts w:cs="Arial" w:ascii="Arial" w:hAnsi="Arial"/>
                <w:sz w:val="22"/>
                <w:szCs w:val="22"/>
              </w:rPr>
            </w:r>
            <w:r>
              <w:rPr>
                <w:sz w:val="22"/>
                <w:szCs w:val="22"/>
                <w:rFonts w:cs="Arial" w:ascii="Arial" w:hAnsi="Arial"/>
              </w:rPr>
              <w:fldChar w:fldCharType="end"/>
            </w:r>
            <w:r>
              <w:rPr>
                <w:rFonts w:cs="Arial" w:ascii="Arial" w:hAnsi="Arial"/>
                <w:sz w:val="22"/>
                <w:szCs w:val="22"/>
              </w:rPr>
              <w:t>, depending upon the nature of the Procurement requirement and the addendum. The minimum time for such extension shall not be less than three days.</w:t>
            </w:r>
          </w:p>
        </w:tc>
      </w:tr>
      <w:tr>
        <w:trPr/>
        <w:tc>
          <w:tcPr>
            <w:tcW w:w="9242" w:type="dxa"/>
            <w:gridSpan w:val="4"/>
            <w:tcBorders/>
          </w:tcPr>
          <w:p>
            <w:pPr>
              <w:pStyle w:val="Heading2"/>
              <w:widowControl w:val="false"/>
              <w:spacing w:before="96" w:after="96"/>
              <w:rPr>
                <w:rFonts w:ascii="Arial" w:hAnsi="Arial"/>
                <w:sz w:val="2"/>
                <w:szCs w:val="32"/>
                <w:lang w:val="en-GB"/>
              </w:rPr>
            </w:pPr>
            <w:r>
              <w:rPr>
                <w:rFonts w:ascii="Arial" w:hAnsi="Arial"/>
                <w:sz w:val="2"/>
                <w:szCs w:val="32"/>
                <w:lang w:val="en-GB"/>
              </w:rPr>
            </w:r>
          </w:p>
          <w:p>
            <w:pPr>
              <w:pStyle w:val="Heading2"/>
              <w:widowControl w:val="false"/>
              <w:spacing w:before="96" w:after="96"/>
              <w:rPr>
                <w:rFonts w:ascii="Arial" w:hAnsi="Arial"/>
                <w:sz w:val="32"/>
                <w:szCs w:val="32"/>
                <w:lang w:val="en-GB"/>
              </w:rPr>
            </w:pPr>
            <w:bookmarkStart w:id="108" w:name="_Toc49591329"/>
            <w:bookmarkStart w:id="109" w:name="_Toc49569767"/>
            <w:bookmarkStart w:id="110" w:name="_Toc421454199"/>
            <w:bookmarkStart w:id="111" w:name="_Toc49504197"/>
            <w:bookmarkStart w:id="112" w:name="_Toc49591677"/>
            <w:bookmarkStart w:id="113" w:name="_Toc49504750"/>
            <w:bookmarkStart w:id="114" w:name="_Toc49504631"/>
            <w:r>
              <w:rPr>
                <w:rFonts w:ascii="Arial" w:hAnsi="Arial"/>
                <w:sz w:val="32"/>
                <w:szCs w:val="32"/>
                <w:lang w:val="en-GB"/>
              </w:rPr>
              <w:t>C.</w:t>
              <w:tab/>
              <w:t>Qualification Criteria</w:t>
            </w:r>
            <w:bookmarkEnd w:id="108"/>
            <w:bookmarkEnd w:id="109"/>
            <w:bookmarkEnd w:id="110"/>
            <w:bookmarkEnd w:id="111"/>
            <w:bookmarkEnd w:id="112"/>
            <w:bookmarkEnd w:id="113"/>
            <w:bookmarkEnd w:id="114"/>
          </w:p>
        </w:tc>
      </w:tr>
      <w:tr>
        <w:trPr>
          <w:trHeight w:val="1908" w:hRule="atLeast"/>
        </w:trPr>
        <w:tc>
          <w:tcPr>
            <w:tcW w:w="2268" w:type="dxa"/>
            <w:gridSpan w:val="2"/>
            <w:vMerge w:val="restart"/>
            <w:tcBorders/>
          </w:tcPr>
          <w:p>
            <w:pPr>
              <w:pStyle w:val="Normal"/>
              <w:widowControl w:val="false"/>
              <w:numPr>
                <w:ilvl w:val="0"/>
                <w:numId w:val="31"/>
              </w:numPr>
              <w:spacing w:before="96" w:after="96"/>
              <w:ind w:left="360" w:hanging="346"/>
              <w:outlineLvl w:val="2"/>
              <w:rPr>
                <w:rFonts w:ascii="Arial" w:hAnsi="Arial" w:cs="Arial"/>
                <w:b/>
                <w:b/>
                <w:sz w:val="22"/>
                <w:szCs w:val="22"/>
                <w:lang w:val="en-GB"/>
              </w:rPr>
            </w:pPr>
            <w:bookmarkStart w:id="115" w:name="_Toc421454200"/>
            <w:bookmarkStart w:id="116" w:name="_Toc49591678"/>
            <w:bookmarkStart w:id="117" w:name="_Toc49504198"/>
            <w:bookmarkStart w:id="118" w:name="_Toc49504632"/>
            <w:bookmarkStart w:id="119" w:name="_Toc49591330"/>
            <w:bookmarkStart w:id="120" w:name="_Toc49569768"/>
            <w:bookmarkStart w:id="121" w:name="_Toc49504751"/>
            <w:r>
              <w:rPr>
                <w:rStyle w:val="Heading3Char"/>
                <w:rFonts w:ascii="Arial" w:hAnsi="Arial"/>
                <w:b/>
                <w:sz w:val="22"/>
                <w:szCs w:val="22"/>
              </w:rPr>
              <w:t>General Criteria</w:t>
            </w:r>
            <w:bookmarkEnd w:id="115"/>
            <w:bookmarkEnd w:id="116"/>
            <w:bookmarkEnd w:id="117"/>
            <w:bookmarkEnd w:id="118"/>
            <w:bookmarkEnd w:id="119"/>
            <w:bookmarkEnd w:id="120"/>
            <w:bookmarkEnd w:id="121"/>
          </w:p>
        </w:tc>
        <w:tc>
          <w:tcPr>
            <w:tcW w:w="6974" w:type="dxa"/>
            <w:gridSpan w:val="2"/>
            <w:tcBorders/>
          </w:tcPr>
          <w:p>
            <w:pPr>
              <w:pStyle w:val="Normal"/>
              <w:widowControl w:val="false"/>
              <w:numPr>
                <w:ilvl w:val="0"/>
                <w:numId w:val="22"/>
              </w:numPr>
              <w:tabs>
                <w:tab w:val="clear" w:pos="720"/>
                <w:tab w:val="left" w:pos="567" w:leader="none"/>
              </w:tabs>
              <w:spacing w:before="96" w:after="96"/>
              <w:ind w:left="585" w:hanging="576"/>
              <w:jc w:val="both"/>
              <w:rPr>
                <w:rFonts w:ascii="Arial" w:hAnsi="Arial" w:cs="Arial"/>
                <w:sz w:val="22"/>
                <w:szCs w:val="22"/>
                <w:lang w:val="en-GB"/>
              </w:rPr>
            </w:pPr>
            <w:r>
              <w:rPr>
                <w:rFonts w:cs="Arial" w:ascii="Arial" w:hAnsi="Arial"/>
                <w:bCs/>
                <w:sz w:val="22"/>
                <w:szCs w:val="22"/>
                <w:lang w:val="en-GB"/>
              </w:rPr>
              <w:t>Tenderers shall possess the necessary professional and technical qualifications and competence, financial resources, equipment and other physical facilities, managerial capability, specific experience, reputation, and the personnel, to perform the contract,</w:t>
            </w:r>
            <w:r>
              <w:rPr>
                <w:rFonts w:cs="Arial" w:ascii="Arial" w:hAnsi="Arial"/>
                <w:bCs/>
                <w:color w:val="000000"/>
                <w:sz w:val="22"/>
                <w:szCs w:val="22"/>
                <w:lang w:val="en-GB"/>
              </w:rPr>
              <w:t xml:space="preserve"> which entails setting pass/fail criteria, which if not met by the Tenderers, </w:t>
            </w:r>
            <w:r>
              <w:rPr>
                <w:rFonts w:cs="Arial" w:ascii="Arial" w:hAnsi="Arial"/>
                <w:bCs/>
                <w:sz w:val="21"/>
                <w:szCs w:val="21"/>
                <w:lang w:val="en-GB"/>
              </w:rPr>
              <w:t>will result in consideration of its Tender as non-responsive</w:t>
            </w:r>
            <w:r>
              <w:rPr>
                <w:rFonts w:cs="Arial" w:ascii="Arial" w:hAnsi="Arial"/>
                <w:bCs/>
                <w:sz w:val="22"/>
                <w:szCs w:val="22"/>
                <w:lang w:val="en-GB"/>
              </w:rPr>
              <w:t>.</w:t>
            </w:r>
          </w:p>
        </w:tc>
      </w:tr>
      <w:tr>
        <w:trPr>
          <w:trHeight w:val="900" w:hRule="atLeast"/>
        </w:trPr>
        <w:tc>
          <w:tcPr>
            <w:tcW w:w="2268" w:type="dxa"/>
            <w:gridSpan w:val="2"/>
            <w:vMerge w:val="continue"/>
            <w:tcBorders/>
          </w:tcPr>
          <w:p>
            <w:pPr>
              <w:pStyle w:val="Heading4"/>
              <w:widowControl w:val="false"/>
              <w:spacing w:before="96" w:after="96"/>
              <w:rPr>
                <w:rFonts w:ascii="Arial" w:hAnsi="Arial" w:cs="Arial"/>
                <w:sz w:val="22"/>
                <w:szCs w:val="22"/>
                <w:lang w:val="en-GB"/>
              </w:rPr>
            </w:pPr>
            <w:r>
              <w:rPr>
                <w:rFonts w:cs="Arial" w:ascii="Arial" w:hAnsi="Arial"/>
                <w:sz w:val="22"/>
                <w:szCs w:val="22"/>
                <w:lang w:val="en-GB"/>
              </w:rPr>
            </w:r>
          </w:p>
        </w:tc>
        <w:tc>
          <w:tcPr>
            <w:tcW w:w="6974" w:type="dxa"/>
            <w:gridSpan w:val="2"/>
            <w:tcBorders/>
          </w:tcPr>
          <w:p>
            <w:pPr>
              <w:pStyle w:val="Normal"/>
              <w:widowControl w:val="false"/>
              <w:numPr>
                <w:ilvl w:val="0"/>
                <w:numId w:val="22"/>
              </w:numPr>
              <w:tabs>
                <w:tab w:val="clear" w:pos="720"/>
                <w:tab w:val="left" w:pos="567" w:leader="none"/>
              </w:tabs>
              <w:spacing w:before="96" w:after="96"/>
              <w:ind w:left="585" w:hanging="576"/>
              <w:jc w:val="both"/>
              <w:rPr>
                <w:rFonts w:ascii="Arial" w:hAnsi="Arial" w:cs="Arial"/>
                <w:sz w:val="22"/>
                <w:szCs w:val="22"/>
                <w:lang w:val="en-GB"/>
              </w:rPr>
            </w:pPr>
            <w:r>
              <w:rPr>
                <w:rFonts w:cs="Arial" w:ascii="Arial" w:hAnsi="Arial"/>
                <w:bCs/>
                <w:sz w:val="22"/>
                <w:szCs w:val="22"/>
                <w:lang w:val="en-GB"/>
              </w:rPr>
              <w:t>In addition to meeting the eligibility criteria, as stated under ITT Clause 5, the Tenderer must satisfy the other criteria as stated under ITT Clause 13 to 15 inclusive.</w:t>
            </w:r>
          </w:p>
        </w:tc>
      </w:tr>
      <w:tr>
        <w:trPr/>
        <w:tc>
          <w:tcPr>
            <w:tcW w:w="2268" w:type="dxa"/>
            <w:gridSpan w:val="2"/>
            <w:vMerge w:val="continue"/>
            <w:tcBorders/>
          </w:tcPr>
          <w:p>
            <w:pPr>
              <w:pStyle w:val="Normal"/>
              <w:widowControl w:val="false"/>
              <w:spacing w:before="96" w:after="96"/>
              <w:rPr>
                <w:rFonts w:ascii="Arial" w:hAnsi="Arial" w:cs="Arial"/>
                <w:sz w:val="22"/>
                <w:szCs w:val="22"/>
                <w:lang w:val="en-GB"/>
              </w:rPr>
            </w:pPr>
            <w:r>
              <w:rPr>
                <w:rFonts w:cs="Arial" w:ascii="Arial" w:hAnsi="Arial"/>
                <w:sz w:val="22"/>
                <w:szCs w:val="22"/>
                <w:lang w:val="en-GB"/>
              </w:rPr>
            </w:r>
          </w:p>
        </w:tc>
        <w:tc>
          <w:tcPr>
            <w:tcW w:w="6974" w:type="dxa"/>
            <w:gridSpan w:val="2"/>
            <w:tcBorders/>
          </w:tcPr>
          <w:p>
            <w:pPr>
              <w:pStyle w:val="Normal"/>
              <w:widowControl w:val="false"/>
              <w:numPr>
                <w:ilvl w:val="0"/>
                <w:numId w:val="22"/>
              </w:numPr>
              <w:tabs>
                <w:tab w:val="clear" w:pos="720"/>
                <w:tab w:val="left" w:pos="567" w:leader="none"/>
              </w:tabs>
              <w:spacing w:before="96" w:after="96"/>
              <w:ind w:left="585" w:hanging="576"/>
              <w:jc w:val="both"/>
              <w:rPr>
                <w:rFonts w:ascii="Arial" w:hAnsi="Arial" w:cs="Arial"/>
                <w:sz w:val="22"/>
                <w:szCs w:val="22"/>
                <w:lang w:val="en-GB"/>
              </w:rPr>
            </w:pPr>
            <w:r>
              <w:rPr>
                <w:rFonts w:cs="Arial" w:ascii="Arial" w:hAnsi="Arial"/>
                <w:bCs/>
                <w:sz w:val="22"/>
                <w:szCs w:val="22"/>
                <w:lang w:val="en-GB"/>
              </w:rPr>
              <w:t>To qualify for multiple number of contracts/lots in a package made up of this and other individual contracts/lots for which Tenders are invited in the Invitation for Tenders, the Tenderer shall demonstrate having resources sufficient to meet the aggregate of the qualifying criteria for the individual contracts. The requirement of general experience as stated under ITT Sub Clause 14.1(a) and specific experience, unless otherwise of different nature, as stated under ITT Sub Clause 14.1(b) shall not be separately applicable for each individual lot.</w:t>
            </w:r>
          </w:p>
        </w:tc>
      </w:tr>
      <w:tr>
        <w:trPr/>
        <w:tc>
          <w:tcPr>
            <w:tcW w:w="2268" w:type="dxa"/>
            <w:gridSpan w:val="2"/>
            <w:tcBorders/>
          </w:tcPr>
          <w:p>
            <w:pPr>
              <w:pStyle w:val="Normal"/>
              <w:widowControl w:val="false"/>
              <w:numPr>
                <w:ilvl w:val="0"/>
                <w:numId w:val="31"/>
              </w:numPr>
              <w:spacing w:before="96" w:after="96"/>
              <w:ind w:left="360" w:hanging="346"/>
              <w:outlineLvl w:val="2"/>
              <w:rPr>
                <w:rFonts w:ascii="Arial" w:hAnsi="Arial" w:cs="Arial"/>
                <w:b/>
                <w:b/>
                <w:sz w:val="22"/>
                <w:szCs w:val="22"/>
                <w:lang w:val="fr-FR"/>
              </w:rPr>
            </w:pPr>
            <w:bookmarkStart w:id="122" w:name="_Toc421454201"/>
            <w:r>
              <w:rPr>
                <w:rStyle w:val="Heading3Char"/>
                <w:rFonts w:ascii="Arial" w:hAnsi="Arial"/>
                <w:b/>
                <w:sz w:val="22"/>
                <w:szCs w:val="22"/>
              </w:rPr>
              <w:t>Litigation History</w:t>
            </w:r>
            <w:bookmarkEnd w:id="122"/>
          </w:p>
        </w:tc>
        <w:tc>
          <w:tcPr>
            <w:tcW w:w="6974" w:type="dxa"/>
            <w:gridSpan w:val="2"/>
            <w:tcBorders/>
          </w:tcPr>
          <w:p>
            <w:pPr>
              <w:pStyle w:val="Normal"/>
              <w:widowControl w:val="false"/>
              <w:numPr>
                <w:ilvl w:val="0"/>
                <w:numId w:val="33"/>
              </w:numPr>
              <w:tabs>
                <w:tab w:val="clear" w:pos="720"/>
                <w:tab w:val="left" w:pos="567" w:leader="none"/>
                <w:tab w:val="left" w:pos="927" w:leader="none"/>
              </w:tabs>
              <w:spacing w:before="96" w:after="96"/>
              <w:ind w:left="590" w:hanging="576"/>
              <w:jc w:val="both"/>
              <w:rPr>
                <w:rFonts w:ascii="Arial" w:hAnsi="Arial" w:cs="Arial"/>
                <w:bCs/>
                <w:sz w:val="22"/>
                <w:szCs w:val="22"/>
                <w:lang w:val="en-GB"/>
              </w:rPr>
            </w:pPr>
            <w:r>
              <w:rPr>
                <w:rFonts w:cs="Arial" w:ascii="Arial" w:hAnsi="Arial"/>
                <w:bCs/>
                <w:sz w:val="22"/>
                <w:szCs w:val="22"/>
                <w:lang w:val="en-GB"/>
              </w:rPr>
              <w:t>Litigation history shall comply with the requirement as stated under ITT Sub Clause 15.1(b).</w:t>
            </w:r>
          </w:p>
        </w:tc>
      </w:tr>
      <w:tr>
        <w:trPr>
          <w:trHeight w:val="720" w:hRule="atLeast"/>
        </w:trPr>
        <w:tc>
          <w:tcPr>
            <w:tcW w:w="2268" w:type="dxa"/>
            <w:gridSpan w:val="2"/>
            <w:tcBorders/>
          </w:tcPr>
          <w:p>
            <w:pPr>
              <w:pStyle w:val="Normal"/>
              <w:widowControl w:val="false"/>
              <w:numPr>
                <w:ilvl w:val="0"/>
                <w:numId w:val="31"/>
              </w:numPr>
              <w:spacing w:before="96" w:after="96"/>
              <w:ind w:left="360" w:hanging="346"/>
              <w:outlineLvl w:val="2"/>
              <w:rPr>
                <w:rFonts w:ascii="Arial" w:hAnsi="Arial" w:cs="Arial"/>
                <w:b/>
                <w:b/>
                <w:spacing w:val="-20"/>
                <w:sz w:val="22"/>
                <w:szCs w:val="22"/>
                <w:lang w:val="fr-FR"/>
              </w:rPr>
            </w:pPr>
            <w:bookmarkStart w:id="123" w:name="_Toc49504633"/>
            <w:bookmarkStart w:id="124" w:name="_Toc49569769"/>
            <w:bookmarkStart w:id="125" w:name="_Toc49591679"/>
            <w:bookmarkStart w:id="126" w:name="_Toc421454202"/>
            <w:bookmarkStart w:id="127" w:name="_Toc49504199"/>
            <w:bookmarkStart w:id="128" w:name="_Toc49591331"/>
            <w:bookmarkStart w:id="129" w:name="_Toc49504752"/>
            <w:r>
              <w:rPr>
                <w:rStyle w:val="Heading3Char"/>
                <w:rFonts w:ascii="Arial" w:hAnsi="Arial"/>
                <w:b/>
                <w:sz w:val="22"/>
                <w:szCs w:val="22"/>
              </w:rPr>
              <w:t>Experience Criteria</w:t>
            </w:r>
            <w:bookmarkEnd w:id="123"/>
            <w:bookmarkEnd w:id="124"/>
            <w:bookmarkEnd w:id="125"/>
            <w:bookmarkEnd w:id="126"/>
            <w:bookmarkEnd w:id="127"/>
            <w:bookmarkEnd w:id="128"/>
            <w:bookmarkEnd w:id="129"/>
          </w:p>
        </w:tc>
        <w:tc>
          <w:tcPr>
            <w:tcW w:w="6974" w:type="dxa"/>
            <w:gridSpan w:val="2"/>
            <w:tcBorders/>
          </w:tcPr>
          <w:p>
            <w:pPr>
              <w:pStyle w:val="Normal"/>
              <w:widowControl w:val="false"/>
              <w:numPr>
                <w:ilvl w:val="0"/>
                <w:numId w:val="23"/>
              </w:numPr>
              <w:tabs>
                <w:tab w:val="clear" w:pos="720"/>
                <w:tab w:val="left" w:pos="567" w:leader="none"/>
              </w:tabs>
              <w:suppressAutoHyphens w:val="true"/>
              <w:spacing w:before="96" w:after="96"/>
              <w:ind w:left="585" w:right="-72" w:hanging="576"/>
              <w:jc w:val="both"/>
              <w:rPr>
                <w:rFonts w:ascii="Arial" w:hAnsi="Arial" w:cs="Arial"/>
                <w:sz w:val="22"/>
                <w:szCs w:val="22"/>
                <w:lang w:val="en-GB"/>
              </w:rPr>
            </w:pPr>
            <w:r>
              <w:rPr>
                <w:rFonts w:cs="Arial" w:ascii="Arial" w:hAnsi="Arial"/>
                <w:bCs/>
                <w:sz w:val="22"/>
                <w:szCs w:val="22"/>
                <w:lang w:val="en-GB"/>
              </w:rPr>
              <w:t>Tenderers shall have the following minimum level of supply experience to qualify for supplying the Goods and related Services under the contract</w:t>
            </w:r>
            <w:r>
              <w:rPr>
                <w:rFonts w:cs="Arial" w:ascii="Arial" w:hAnsi="Arial"/>
                <w:sz w:val="22"/>
                <w:szCs w:val="22"/>
                <w:lang w:val="en-GB"/>
              </w:rPr>
              <w:t>:</w:t>
            </w:r>
          </w:p>
          <w:p>
            <w:pPr>
              <w:pStyle w:val="Normal"/>
              <w:widowControl w:val="false"/>
              <w:numPr>
                <w:ilvl w:val="0"/>
                <w:numId w:val="39"/>
              </w:numPr>
              <w:tabs>
                <w:tab w:val="clear" w:pos="720"/>
                <w:tab w:val="left" w:pos="1152" w:leader="none"/>
              </w:tabs>
              <w:suppressAutoHyphens w:val="true"/>
              <w:spacing w:before="96" w:after="96"/>
              <w:ind w:left="1152" w:right="-72" w:hanging="302"/>
              <w:jc w:val="both"/>
              <w:rPr>
                <w:rFonts w:ascii="Arial" w:hAnsi="Arial" w:cs="Arial"/>
                <w:sz w:val="22"/>
                <w:szCs w:val="22"/>
                <w:lang w:val="en-GB"/>
              </w:rPr>
            </w:pPr>
            <w:r>
              <w:rPr>
                <w:rFonts w:cs="Arial" w:ascii="Arial" w:hAnsi="Arial"/>
                <w:sz w:val="22"/>
                <w:szCs w:val="22"/>
                <w:lang w:val="en-GB"/>
              </w:rPr>
              <w:t xml:space="preserve">a minimum number of years of general experience in the supply of Goods and related services as specified in the </w:t>
            </w:r>
            <w:r>
              <w:rPr>
                <w:rFonts w:cs="Arial" w:ascii="Arial" w:hAnsi="Arial"/>
                <w:b/>
                <w:sz w:val="22"/>
                <w:szCs w:val="22"/>
                <w:lang w:val="en-GB"/>
              </w:rPr>
              <w:t>TDS</w:t>
            </w:r>
            <w:r>
              <w:rPr>
                <w:rFonts w:cs="Arial" w:ascii="Arial" w:hAnsi="Arial"/>
                <w:sz w:val="22"/>
                <w:szCs w:val="22"/>
                <w:lang w:val="en-GB"/>
              </w:rPr>
              <w:t>;</w:t>
            </w:r>
          </w:p>
          <w:p>
            <w:pPr>
              <w:pStyle w:val="Normal"/>
              <w:widowControl w:val="false"/>
              <w:numPr>
                <w:ilvl w:val="0"/>
                <w:numId w:val="39"/>
              </w:numPr>
              <w:tabs>
                <w:tab w:val="clear" w:pos="720"/>
                <w:tab w:val="left" w:pos="1152" w:leader="none"/>
              </w:tabs>
              <w:suppressAutoHyphens w:val="true"/>
              <w:spacing w:before="96" w:after="96"/>
              <w:ind w:left="1152" w:right="-72" w:hanging="297"/>
              <w:jc w:val="both"/>
              <w:rPr>
                <w:rFonts w:ascii="Arial" w:hAnsi="Arial" w:cs="Arial"/>
                <w:sz w:val="22"/>
                <w:szCs w:val="22"/>
                <w:lang w:val="en-GB"/>
              </w:rPr>
            </w:pPr>
            <w:r>
              <w:rPr>
                <w:rFonts w:cs="Arial" w:ascii="Arial" w:hAnsi="Arial"/>
                <w:color w:val="000000"/>
                <w:sz w:val="22"/>
                <w:szCs w:val="22"/>
                <w:lang w:val="en-GB"/>
              </w:rPr>
              <w:t xml:space="preserve">specific experience of satisfactory completion of supply of Goods similar to the proposed goods </w:t>
            </w:r>
            <w:r>
              <w:rPr>
                <w:rFonts w:cs="Arial" w:ascii="Arial" w:hAnsi="Arial"/>
                <w:sz w:val="22"/>
                <w:szCs w:val="22"/>
                <w:lang w:val="en-GB"/>
              </w:rPr>
              <w:t xml:space="preserve">in at least a number of contract(s)and, each with a minimum </w:t>
            </w:r>
            <w:r>
              <w:rPr>
                <w:rFonts w:cs="Arial" w:ascii="Arial" w:hAnsi="Arial"/>
                <w:color w:val="000000"/>
                <w:sz w:val="22"/>
                <w:szCs w:val="22"/>
                <w:lang w:val="en-GB"/>
              </w:rPr>
              <w:t xml:space="preserve">value, over the period, as specified in </w:t>
            </w:r>
            <w:r>
              <w:rPr>
                <w:rFonts w:cs="Arial" w:ascii="Arial" w:hAnsi="Arial"/>
                <w:b/>
                <w:sz w:val="22"/>
                <w:szCs w:val="22"/>
                <w:lang w:val="en-GB"/>
              </w:rPr>
              <w:t>TDS</w:t>
            </w:r>
            <w:r>
              <w:rPr>
                <w:rFonts w:cs="Arial" w:ascii="Arial" w:hAnsi="Arial"/>
                <w:sz w:val="22"/>
                <w:szCs w:val="22"/>
                <w:lang w:val="en-GB"/>
              </w:rPr>
              <w:t>; and</w:t>
            </w:r>
          </w:p>
          <w:p>
            <w:pPr>
              <w:pStyle w:val="Normal"/>
              <w:widowControl w:val="false"/>
              <w:numPr>
                <w:ilvl w:val="0"/>
                <w:numId w:val="39"/>
              </w:numPr>
              <w:tabs>
                <w:tab w:val="clear" w:pos="720"/>
                <w:tab w:val="left" w:pos="1152" w:leader="none"/>
              </w:tabs>
              <w:suppressAutoHyphens w:val="true"/>
              <w:spacing w:before="96" w:after="96"/>
              <w:ind w:left="1152" w:right="-72" w:hanging="297"/>
              <w:jc w:val="both"/>
              <w:rPr>
                <w:rFonts w:ascii="Arial" w:hAnsi="Arial" w:cs="Arial"/>
                <w:sz w:val="22"/>
                <w:szCs w:val="22"/>
                <w:lang w:val="en-GB"/>
              </w:rPr>
            </w:pPr>
            <w:r>
              <w:rPr>
                <w:rFonts w:cs="Arial" w:ascii="Arial" w:hAnsi="Arial"/>
                <w:sz w:val="22"/>
                <w:szCs w:val="22"/>
                <w:lang w:val="en-GB"/>
              </w:rPr>
              <w:t xml:space="preserve">a minimum supply and/or production capacity of Goods as specified in the </w:t>
            </w:r>
            <w:r>
              <w:rPr>
                <w:rFonts w:cs="Arial" w:ascii="Arial" w:hAnsi="Arial"/>
                <w:b/>
                <w:sz w:val="22"/>
                <w:szCs w:val="22"/>
                <w:lang w:val="en-GB"/>
              </w:rPr>
              <w:t>TDS</w:t>
            </w:r>
            <w:r>
              <w:rPr>
                <w:rFonts w:cs="Arial" w:ascii="Arial" w:hAnsi="Arial"/>
                <w:sz w:val="22"/>
                <w:szCs w:val="22"/>
                <w:lang w:val="en-GB"/>
              </w:rPr>
              <w:t>.</w:t>
            </w:r>
          </w:p>
        </w:tc>
      </w:tr>
      <w:tr>
        <w:trPr>
          <w:trHeight w:val="720" w:hRule="atLeast"/>
        </w:trPr>
        <w:tc>
          <w:tcPr>
            <w:tcW w:w="2268" w:type="dxa"/>
            <w:gridSpan w:val="2"/>
            <w:tcBorders/>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130" w:name="_Toc421454203"/>
            <w:r>
              <w:rPr>
                <w:rStyle w:val="Heading3Char"/>
                <w:rFonts w:ascii="Arial" w:hAnsi="Arial"/>
                <w:b/>
                <w:sz w:val="22"/>
                <w:szCs w:val="22"/>
              </w:rPr>
              <w:t>Financial Criteria</w:t>
            </w:r>
            <w:bookmarkEnd w:id="130"/>
          </w:p>
        </w:tc>
        <w:tc>
          <w:tcPr>
            <w:tcW w:w="6974" w:type="dxa"/>
            <w:gridSpan w:val="2"/>
            <w:tcBorders/>
          </w:tcPr>
          <w:p>
            <w:pPr>
              <w:pStyle w:val="Normal"/>
              <w:widowControl w:val="false"/>
              <w:numPr>
                <w:ilvl w:val="2"/>
                <w:numId w:val="17"/>
              </w:numPr>
              <w:tabs>
                <w:tab w:val="clear" w:pos="720"/>
                <w:tab w:val="left" w:pos="567" w:leader="none"/>
              </w:tabs>
              <w:suppressAutoHyphens w:val="true"/>
              <w:spacing w:before="120" w:after="120"/>
              <w:ind w:left="585" w:right="-72" w:hanging="576"/>
              <w:jc w:val="both"/>
              <w:rPr>
                <w:rFonts w:ascii="Arial" w:hAnsi="Arial" w:cs="Arial"/>
                <w:bCs/>
                <w:sz w:val="22"/>
                <w:szCs w:val="22"/>
                <w:lang w:val="en-GB"/>
              </w:rPr>
            </w:pPr>
            <w:r>
              <w:rPr>
                <w:rFonts w:cs="Arial" w:ascii="Arial" w:hAnsi="Arial"/>
                <w:sz w:val="22"/>
                <w:szCs w:val="22"/>
                <w:lang w:val="en-GB"/>
              </w:rPr>
              <w:t>Tenderers shall have the following minimum level of financial capacity to qualify for the supply of goods under the contract:</w:t>
            </w:r>
          </w:p>
        </w:tc>
      </w:tr>
      <w:tr>
        <w:trPr>
          <w:trHeight w:val="1260" w:hRule="atLeast"/>
        </w:trPr>
        <w:tc>
          <w:tcPr>
            <w:tcW w:w="2268" w:type="dxa"/>
            <w:gridSpan w:val="2"/>
            <w:vMerge w:val="restart"/>
            <w:tcBorders/>
          </w:tcPr>
          <w:p>
            <w:pPr>
              <w:pStyle w:val="Normal"/>
              <w:widowControl w:val="false"/>
              <w:numPr>
                <w:ilvl w:val="0"/>
                <w:numId w:val="0"/>
              </w:numPr>
              <w:spacing w:before="80" w:after="80"/>
              <w:ind w:left="14" w:hanging="0"/>
              <w:outlineLvl w:val="2"/>
              <w:rPr>
                <w:rFonts w:ascii="Arial" w:hAnsi="Arial" w:cs="Arial"/>
                <w:b/>
                <w:b/>
                <w:spacing w:val="-20"/>
                <w:sz w:val="22"/>
                <w:szCs w:val="22"/>
                <w:lang w:val="en-GB"/>
              </w:rPr>
            </w:pPr>
            <w:r>
              <w:rPr>
                <w:rFonts w:cs="Arial" w:ascii="Arial" w:hAnsi="Arial"/>
                <w:b/>
                <w:spacing w:val="-20"/>
                <w:sz w:val="22"/>
                <w:szCs w:val="22"/>
                <w:lang w:val="en-GB"/>
              </w:rPr>
            </w:r>
          </w:p>
        </w:tc>
        <w:tc>
          <w:tcPr>
            <w:tcW w:w="6974" w:type="dxa"/>
            <w:gridSpan w:val="2"/>
            <w:tcBorders/>
          </w:tcPr>
          <w:p>
            <w:pPr>
              <w:pStyle w:val="Normal"/>
              <w:widowControl w:val="false"/>
              <w:numPr>
                <w:ilvl w:val="0"/>
                <w:numId w:val="18"/>
              </w:numPr>
              <w:tabs>
                <w:tab w:val="clear" w:pos="720"/>
                <w:tab w:val="left" w:pos="1179" w:leader="none"/>
              </w:tabs>
              <w:suppressAutoHyphens w:val="true"/>
              <w:spacing w:before="120" w:after="120"/>
              <w:ind w:left="1181" w:right="-72" w:hanging="331"/>
              <w:jc w:val="both"/>
              <w:rPr>
                <w:rFonts w:ascii="Arial" w:hAnsi="Arial" w:cs="Arial"/>
                <w:sz w:val="22"/>
                <w:szCs w:val="22"/>
                <w:lang w:val="en-GB"/>
              </w:rPr>
            </w:pPr>
            <w:r>
              <w:rPr>
                <w:rFonts w:cs="Arial" w:ascii="Arial" w:hAnsi="Arial"/>
                <w:color w:val="000000"/>
                <w:sz w:val="22"/>
                <w:szCs w:val="22"/>
                <w:lang w:val="en-GB"/>
              </w:rPr>
              <w:t xml:space="preserve">availability of minimum liquid assets i.e. working capital or credit line(s) from any scheduled Bank of Bangladesh, net of other contractual commitments, of the amount  as specified in the </w:t>
            </w:r>
            <w:r>
              <w:rPr>
                <w:rFonts w:cs="Arial" w:ascii="Arial" w:hAnsi="Arial"/>
                <w:b/>
                <w:color w:val="000000"/>
                <w:sz w:val="22"/>
                <w:szCs w:val="22"/>
                <w:lang w:val="en-GB"/>
              </w:rPr>
              <w:t>TDS</w:t>
            </w:r>
          </w:p>
        </w:tc>
      </w:tr>
      <w:tr>
        <w:trPr>
          <w:trHeight w:val="1080" w:hRule="atLeast"/>
        </w:trPr>
        <w:tc>
          <w:tcPr>
            <w:tcW w:w="2268" w:type="dxa"/>
            <w:gridSpan w:val="2"/>
            <w:vMerge w:val="continue"/>
            <w:tcBorders/>
          </w:tcPr>
          <w:p>
            <w:pPr>
              <w:pStyle w:val="Normal"/>
              <w:widowControl w:val="false"/>
              <w:numPr>
                <w:ilvl w:val="0"/>
                <w:numId w:val="0"/>
              </w:numPr>
              <w:spacing w:before="120" w:after="0"/>
              <w:ind w:left="9" w:hanging="0"/>
              <w:outlineLvl w:val="2"/>
              <w:rPr>
                <w:rStyle w:val="Heading3Char"/>
                <w:rFonts w:ascii="Arial" w:hAnsi="Arial"/>
                <w:b/>
                <w:b/>
                <w:sz w:val="22"/>
                <w:szCs w:val="22"/>
              </w:rPr>
            </w:pPr>
            <w:r>
              <w:rPr>
                <w:rFonts w:ascii="Arial" w:hAnsi="Arial"/>
                <w:b/>
                <w:sz w:val="22"/>
                <w:szCs w:val="22"/>
              </w:rPr>
            </w:r>
          </w:p>
        </w:tc>
        <w:tc>
          <w:tcPr>
            <w:tcW w:w="6974" w:type="dxa"/>
            <w:gridSpan w:val="2"/>
            <w:tcBorders/>
          </w:tcPr>
          <w:p>
            <w:pPr>
              <w:pStyle w:val="Normal"/>
              <w:widowControl w:val="false"/>
              <w:numPr>
                <w:ilvl w:val="0"/>
                <w:numId w:val="18"/>
              </w:numPr>
              <w:tabs>
                <w:tab w:val="clear" w:pos="720"/>
                <w:tab w:val="left" w:pos="1179" w:leader="none"/>
              </w:tabs>
              <w:suppressAutoHyphens w:val="true"/>
              <w:spacing w:before="120" w:after="120"/>
              <w:ind w:left="1179" w:right="-72" w:hanging="324"/>
              <w:jc w:val="both"/>
              <w:rPr>
                <w:rFonts w:ascii="Arial" w:hAnsi="Arial" w:cs="Arial"/>
                <w:sz w:val="22"/>
                <w:szCs w:val="22"/>
                <w:lang w:val="en-GB"/>
              </w:rPr>
            </w:pPr>
            <w:r>
              <w:rPr>
                <w:rFonts w:cs="Arial" w:ascii="Arial" w:hAnsi="Arial"/>
                <w:sz w:val="22"/>
                <w:szCs w:val="22"/>
                <w:lang w:val="en-GB"/>
              </w:rPr>
              <w:t>satisfactory resolution of all claims under litigation cases and shall not have serious negative impact on the financial capacity of the Tenderers. All pending litigation shall be treated as resolved against the Tenderers.</w:t>
            </w:r>
          </w:p>
        </w:tc>
      </w:tr>
      <w:tr>
        <w:trPr>
          <w:trHeight w:val="810" w:hRule="atLeast"/>
        </w:trPr>
        <w:tc>
          <w:tcPr>
            <w:tcW w:w="2268" w:type="dxa"/>
            <w:gridSpan w:val="2"/>
            <w:vMerge w:val="restart"/>
            <w:tcBorders/>
          </w:tcPr>
          <w:p>
            <w:pPr>
              <w:pStyle w:val="Normal"/>
              <w:widowControl w:val="false"/>
              <w:numPr>
                <w:ilvl w:val="0"/>
                <w:numId w:val="31"/>
              </w:numPr>
              <w:spacing w:before="80" w:after="80"/>
              <w:ind w:left="360" w:right="-153" w:hanging="346"/>
              <w:outlineLvl w:val="2"/>
              <w:rPr>
                <w:rStyle w:val="Heading3Char"/>
                <w:rFonts w:ascii="Arial" w:hAnsi="Arial"/>
                <w:b/>
                <w:b/>
                <w:sz w:val="22"/>
                <w:szCs w:val="22"/>
              </w:rPr>
            </w:pPr>
            <w:bookmarkStart w:id="131" w:name="_Toc421454204"/>
            <w:r>
              <w:rPr>
                <w:rStyle w:val="Heading3Char"/>
                <w:rFonts w:ascii="Arial" w:hAnsi="Arial"/>
                <w:b/>
                <w:sz w:val="22"/>
                <w:szCs w:val="22"/>
              </w:rPr>
              <w:t>Subcontractor(s)</w:t>
            </w:r>
            <w:bookmarkEnd w:id="131"/>
          </w:p>
        </w:tc>
        <w:tc>
          <w:tcPr>
            <w:tcW w:w="6974" w:type="dxa"/>
            <w:gridSpan w:val="2"/>
            <w:tcBorders/>
          </w:tcPr>
          <w:p>
            <w:pPr>
              <w:pStyle w:val="Normal"/>
              <w:widowControl w:val="false"/>
              <w:numPr>
                <w:ilvl w:val="0"/>
                <w:numId w:val="70"/>
              </w:numPr>
              <w:tabs>
                <w:tab w:val="clear" w:pos="720"/>
                <w:tab w:val="left" w:pos="567" w:leader="none"/>
              </w:tabs>
              <w:suppressAutoHyphens w:val="true"/>
              <w:spacing w:before="120" w:after="120"/>
              <w:ind w:left="585" w:right="-72" w:hanging="576"/>
              <w:jc w:val="both"/>
              <w:rPr>
                <w:rFonts w:ascii="Arial" w:hAnsi="Arial" w:cs="Arial"/>
                <w:sz w:val="22"/>
                <w:szCs w:val="22"/>
                <w:highlight w:val="yellow"/>
                <w:lang w:val="en-GB"/>
              </w:rPr>
            </w:pPr>
            <w:r>
              <w:rPr>
                <w:rFonts w:cs="Arial" w:ascii="Arial" w:hAnsi="Arial"/>
                <w:sz w:val="22"/>
                <w:szCs w:val="22"/>
                <w:lang w:val="en-GB"/>
              </w:rPr>
              <w:t>Tenderers may intend to subcontract an activity or portion of the Goods, in which case such elements and the proposed Subcontractor shall be clearly identified.</w:t>
            </w:r>
          </w:p>
        </w:tc>
      </w:tr>
      <w:tr>
        <w:trPr>
          <w:trHeight w:val="810" w:hRule="atLeast"/>
        </w:trPr>
        <w:tc>
          <w:tcPr>
            <w:tcW w:w="2268" w:type="dxa"/>
            <w:gridSpan w:val="2"/>
            <w:vMerge w:val="continue"/>
            <w:tcBorders/>
          </w:tcPr>
          <w:p>
            <w:pPr>
              <w:pStyle w:val="Normal"/>
              <w:widowControl w:val="false"/>
              <w:numPr>
                <w:ilvl w:val="0"/>
                <w:numId w:val="31"/>
              </w:numPr>
              <w:spacing w:before="80" w:after="80"/>
              <w:ind w:left="360" w:hanging="346"/>
              <w:outlineLvl w:val="2"/>
              <w:rPr>
                <w:rStyle w:val="Heading3Char"/>
                <w:rFonts w:ascii="Arial" w:hAnsi="Arial"/>
                <w:b/>
                <w:b/>
                <w:sz w:val="22"/>
                <w:szCs w:val="22"/>
              </w:rPr>
            </w:pPr>
            <w:r>
              <w:rPr>
                <w:rFonts w:ascii="Arial" w:hAnsi="Arial"/>
                <w:b/>
                <w:sz w:val="22"/>
                <w:szCs w:val="22"/>
              </w:rPr>
            </w:r>
            <w:bookmarkStart w:id="132" w:name="_Toc338337540"/>
            <w:bookmarkStart w:id="133" w:name="_Toc421014723"/>
            <w:bookmarkStart w:id="134" w:name="_Toc421454205"/>
            <w:bookmarkStart w:id="135" w:name="_Toc338337540"/>
            <w:bookmarkStart w:id="136" w:name="_Toc421014723"/>
            <w:bookmarkStart w:id="137" w:name="_Toc421454205"/>
            <w:bookmarkEnd w:id="135"/>
            <w:bookmarkEnd w:id="136"/>
            <w:bookmarkEnd w:id="137"/>
          </w:p>
        </w:tc>
        <w:tc>
          <w:tcPr>
            <w:tcW w:w="6974" w:type="dxa"/>
            <w:gridSpan w:val="2"/>
            <w:tcBorders/>
          </w:tcPr>
          <w:p>
            <w:pPr>
              <w:pStyle w:val="Normal"/>
              <w:widowControl w:val="false"/>
              <w:numPr>
                <w:ilvl w:val="0"/>
                <w:numId w:val="70"/>
              </w:numPr>
              <w:tabs>
                <w:tab w:val="clear" w:pos="720"/>
                <w:tab w:val="left" w:pos="567" w:leader="none"/>
              </w:tabs>
              <w:suppressAutoHyphens w:val="true"/>
              <w:spacing w:before="120" w:after="120"/>
              <w:ind w:left="585" w:right="-72" w:hanging="576"/>
              <w:jc w:val="both"/>
              <w:rPr>
                <w:rFonts w:ascii="Arial" w:hAnsi="Arial" w:cs="Arial"/>
                <w:sz w:val="22"/>
                <w:szCs w:val="22"/>
                <w:lang w:val="en-GB"/>
              </w:rPr>
            </w:pPr>
            <w:r>
              <w:rPr>
                <w:rFonts w:cs="Arial" w:ascii="Arial" w:hAnsi="Arial"/>
                <w:sz w:val="22"/>
                <w:szCs w:val="22"/>
                <w:lang w:val="en-GB"/>
              </w:rPr>
              <w:t>The Procuring Entity may require Tenderers to provide more information about their subcontracting arrangements. If any Subcontractor is found ineligible or unsuitable to carry out the subcontracted tasks, the Procuring Entity may request the Tenderers to propose an acceptable substitute.</w:t>
            </w:r>
          </w:p>
        </w:tc>
      </w:tr>
      <w:tr>
        <w:trPr/>
        <w:tc>
          <w:tcPr>
            <w:tcW w:w="2268" w:type="dxa"/>
            <w:gridSpan w:val="2"/>
            <w:vMerge w:val="continue"/>
            <w:tcBorders/>
          </w:tcPr>
          <w:p>
            <w:pPr>
              <w:pStyle w:val="Normal"/>
              <w:widowControl w:val="false"/>
              <w:numPr>
                <w:ilvl w:val="0"/>
                <w:numId w:val="0"/>
              </w:numPr>
              <w:spacing w:before="120" w:after="0"/>
              <w:ind w:left="9" w:hanging="0"/>
              <w:outlineLvl w:val="2"/>
              <w:rPr>
                <w:rStyle w:val="Heading3Char"/>
                <w:rFonts w:ascii="Arial" w:hAnsi="Arial"/>
                <w:b/>
                <w:b/>
                <w:sz w:val="21"/>
                <w:szCs w:val="21"/>
              </w:rPr>
            </w:pPr>
            <w:r>
              <w:rPr>
                <w:rFonts w:ascii="Arial" w:hAnsi="Arial"/>
                <w:b/>
                <w:sz w:val="21"/>
                <w:szCs w:val="21"/>
              </w:rPr>
            </w:r>
          </w:p>
        </w:tc>
        <w:tc>
          <w:tcPr>
            <w:tcW w:w="6974" w:type="dxa"/>
            <w:gridSpan w:val="2"/>
            <w:tcBorders/>
          </w:tcPr>
          <w:p>
            <w:pPr>
              <w:pStyle w:val="Normal"/>
              <w:widowControl w:val="false"/>
              <w:numPr>
                <w:ilvl w:val="0"/>
                <w:numId w:val="70"/>
              </w:numPr>
              <w:tabs>
                <w:tab w:val="clear" w:pos="720"/>
              </w:tabs>
              <w:suppressAutoHyphens w:val="true"/>
              <w:spacing w:before="120" w:after="120"/>
              <w:ind w:left="585" w:right="-72" w:hanging="576"/>
              <w:jc w:val="both"/>
              <w:rPr>
                <w:rFonts w:ascii="Arial" w:hAnsi="Arial" w:cs="Arial"/>
                <w:sz w:val="22"/>
                <w:szCs w:val="22"/>
                <w:highlight w:val="yellow"/>
                <w:lang w:val="en-GB"/>
              </w:rPr>
            </w:pPr>
            <w:r>
              <w:rPr>
                <w:rFonts w:cs="Arial" w:ascii="Arial" w:hAnsi="Arial"/>
                <w:sz w:val="22"/>
                <w:szCs w:val="22"/>
                <w:lang w:val="en-GB"/>
              </w:rPr>
              <w:t>A Subcontractor may participate in more than one Tender, but only in that capacity</w:t>
            </w:r>
            <w:r>
              <w:rPr>
                <w:rFonts w:cs="Arial" w:ascii="Arial" w:hAnsi="Arial"/>
                <w:sz w:val="22"/>
                <w:szCs w:val="22"/>
                <w:highlight w:val="yellow"/>
                <w:lang w:val="en-GB"/>
              </w:rPr>
              <w:t>.</w:t>
            </w:r>
          </w:p>
        </w:tc>
      </w:tr>
      <w:tr>
        <w:trPr/>
        <w:tc>
          <w:tcPr>
            <w:tcW w:w="9242" w:type="dxa"/>
            <w:gridSpan w:val="4"/>
            <w:tcBorders/>
          </w:tcPr>
          <w:p>
            <w:pPr>
              <w:pStyle w:val="Heading2"/>
              <w:widowControl w:val="false"/>
              <w:spacing w:before="200" w:after="200"/>
              <w:rPr>
                <w:rFonts w:ascii="Arial" w:hAnsi="Arial"/>
                <w:sz w:val="32"/>
                <w:szCs w:val="32"/>
                <w:lang w:val="en-GB"/>
              </w:rPr>
            </w:pPr>
            <w:bookmarkStart w:id="138" w:name="_Toc49591684"/>
            <w:bookmarkStart w:id="139" w:name="_Toc37047283"/>
            <w:bookmarkStart w:id="140" w:name="_Toc49504204"/>
            <w:bookmarkStart w:id="141" w:name="_Toc49504638"/>
            <w:bookmarkStart w:id="142" w:name="_Toc49504757"/>
            <w:bookmarkStart w:id="143" w:name="_Toc49569774"/>
            <w:bookmarkStart w:id="144" w:name="_Toc49591336"/>
            <w:bookmarkStart w:id="145" w:name="_Toc338337541"/>
            <w:bookmarkStart w:id="146" w:name="_Toc505659525"/>
            <w:bookmarkStart w:id="147" w:name="_Toc421454206"/>
            <w:r>
              <w:rPr>
                <w:rFonts w:ascii="Arial" w:hAnsi="Arial"/>
                <w:sz w:val="32"/>
                <w:szCs w:val="32"/>
                <w:lang w:val="en-GB"/>
              </w:rPr>
              <w:t>D.</w:t>
              <w:tab/>
              <w:t>Tender Preparation</w:t>
            </w:r>
            <w:bookmarkEnd w:id="138"/>
            <w:bookmarkEnd w:id="139"/>
            <w:bookmarkEnd w:id="140"/>
            <w:bookmarkEnd w:id="141"/>
            <w:bookmarkEnd w:id="142"/>
            <w:bookmarkEnd w:id="143"/>
            <w:bookmarkEnd w:id="144"/>
            <w:bookmarkEnd w:id="145"/>
            <w:bookmarkEnd w:id="146"/>
            <w:bookmarkEnd w:id="147"/>
          </w:p>
        </w:tc>
      </w:tr>
      <w:tr>
        <w:trPr>
          <w:trHeight w:val="1287" w:hRule="atLeast"/>
        </w:trPr>
        <w:tc>
          <w:tcPr>
            <w:tcW w:w="2222" w:type="dxa"/>
            <w:vMerge w:val="restart"/>
            <w:tcBorders/>
          </w:tcPr>
          <w:p>
            <w:pPr>
              <w:pStyle w:val="Normal"/>
              <w:widowControl w:val="false"/>
              <w:numPr>
                <w:ilvl w:val="0"/>
                <w:numId w:val="31"/>
              </w:numPr>
              <w:spacing w:before="80" w:after="80"/>
              <w:ind w:left="360" w:hanging="346"/>
              <w:outlineLvl w:val="2"/>
              <w:rPr>
                <w:rFonts w:ascii="Arial" w:hAnsi="Arial" w:cs="Arial"/>
                <w:b/>
                <w:b/>
                <w:sz w:val="22"/>
                <w:szCs w:val="22"/>
                <w:lang w:val="en-GB"/>
              </w:rPr>
            </w:pPr>
            <w:bookmarkStart w:id="148" w:name="_Toc421454207"/>
            <w:bookmarkStart w:id="149" w:name="_Toc49504639"/>
            <w:bookmarkStart w:id="150" w:name="_Toc49504758"/>
            <w:bookmarkStart w:id="151" w:name="_Toc49504205"/>
            <w:bookmarkStart w:id="152" w:name="_Toc49591685"/>
            <w:bookmarkStart w:id="153" w:name="_Toc49569775"/>
            <w:bookmarkStart w:id="154" w:name="_Toc49591337"/>
            <w:r>
              <w:rPr>
                <w:rStyle w:val="Heading3Char"/>
                <w:rFonts w:ascii="Arial" w:hAnsi="Arial"/>
                <w:b/>
                <w:sz w:val="22"/>
                <w:szCs w:val="22"/>
              </w:rPr>
              <w:t>Only One Tender</w:t>
            </w:r>
            <w:bookmarkEnd w:id="148"/>
            <w:bookmarkEnd w:id="149"/>
            <w:bookmarkEnd w:id="150"/>
            <w:bookmarkEnd w:id="151"/>
            <w:bookmarkEnd w:id="152"/>
            <w:bookmarkEnd w:id="153"/>
            <w:bookmarkEnd w:id="154"/>
          </w:p>
        </w:tc>
        <w:tc>
          <w:tcPr>
            <w:tcW w:w="7020" w:type="dxa"/>
            <w:gridSpan w:val="3"/>
            <w:tcBorders/>
          </w:tcPr>
          <w:p>
            <w:pPr>
              <w:pStyle w:val="SubClauseText"/>
              <w:widowControl w:val="false"/>
              <w:numPr>
                <w:ilvl w:val="0"/>
                <w:numId w:val="71"/>
              </w:numPr>
              <w:tabs>
                <w:tab w:val="clear" w:pos="720"/>
                <w:tab w:val="left" w:pos="549" w:leader="none"/>
              </w:tabs>
              <w:spacing w:before="120" w:after="120"/>
              <w:ind w:left="590" w:hanging="576"/>
              <w:rPr>
                <w:rFonts w:ascii="Arial" w:hAnsi="Arial" w:cs="Arial"/>
                <w:sz w:val="22"/>
                <w:szCs w:val="22"/>
                <w:lang w:val="en-GB"/>
              </w:rPr>
            </w:pPr>
            <w:r>
              <w:rPr>
                <w:rFonts w:cs="Arial" w:ascii="Arial" w:hAnsi="Arial"/>
                <w:sz w:val="22"/>
                <w:szCs w:val="22"/>
                <w:lang w:val="en-GB"/>
              </w:rPr>
              <w:t>If a Tender for Goods is invited for one or more items on an ‘item-by-item’ basis, in such case the offer for each item shall correspond to full quantity under that particular item and each such item shall constitute a Tender.  A Tenderer who submits or participates in more than one (1) Tender for each item will cause all the Tenders with that Tenderer’s participation to be rejected.</w:t>
            </w:r>
          </w:p>
        </w:tc>
      </w:tr>
      <w:tr>
        <w:trPr>
          <w:trHeight w:val="1440" w:hRule="atLeast"/>
        </w:trPr>
        <w:tc>
          <w:tcPr>
            <w:tcW w:w="2222" w:type="dxa"/>
            <w:vMerge w:val="continue"/>
            <w:tcBorders/>
          </w:tcPr>
          <w:p>
            <w:pPr>
              <w:pStyle w:val="Normal"/>
              <w:widowControl w:val="false"/>
              <w:spacing w:before="120" w:after="288"/>
              <w:rPr>
                <w:rFonts w:ascii="Arial" w:hAnsi="Arial" w:cs="Arial"/>
                <w:sz w:val="22"/>
                <w:szCs w:val="22"/>
              </w:rPr>
            </w:pPr>
            <w:r>
              <w:rPr>
                <w:rFonts w:cs="Arial" w:ascii="Arial" w:hAnsi="Arial"/>
                <w:sz w:val="22"/>
                <w:szCs w:val="22"/>
              </w:rPr>
            </w:r>
          </w:p>
        </w:tc>
        <w:tc>
          <w:tcPr>
            <w:tcW w:w="7020" w:type="dxa"/>
            <w:gridSpan w:val="3"/>
            <w:tcBorders/>
          </w:tcPr>
          <w:p>
            <w:pPr>
              <w:pStyle w:val="SubClauseText"/>
              <w:widowControl w:val="false"/>
              <w:numPr>
                <w:ilvl w:val="0"/>
                <w:numId w:val="71"/>
              </w:numPr>
              <w:tabs>
                <w:tab w:val="clear" w:pos="720"/>
                <w:tab w:val="left" w:pos="567" w:leader="none"/>
              </w:tabs>
              <w:spacing w:before="120" w:after="120"/>
              <w:ind w:left="590" w:hanging="576"/>
              <w:rPr>
                <w:rFonts w:ascii="Arial" w:hAnsi="Arial" w:cs="Arial"/>
                <w:sz w:val="22"/>
                <w:szCs w:val="22"/>
                <w:lang w:val="en-GB"/>
              </w:rPr>
            </w:pPr>
            <w:r>
              <w:rPr>
                <w:rFonts w:cs="Arial" w:ascii="Arial" w:hAnsi="Arial"/>
                <w:sz w:val="22"/>
                <w:szCs w:val="22"/>
                <w:lang w:val="en-GB"/>
              </w:rPr>
              <w:t>If a Tender for Goods is invited for a single lot/package, the single lot/package shall constitute a Tender. Tenderers shall submit only one (1) Tender for the lot/package. Tenderer who submits more than one (1) Tender in the lot/packagewill cause all the Tenders of that particular Tenderer to be rejected.</w:t>
            </w:r>
          </w:p>
        </w:tc>
      </w:tr>
      <w:tr>
        <w:trPr>
          <w:trHeight w:val="1440" w:hRule="atLeast"/>
        </w:trPr>
        <w:tc>
          <w:tcPr>
            <w:tcW w:w="2222" w:type="dxa"/>
            <w:vMerge w:val="continue"/>
            <w:tcBorders/>
          </w:tcPr>
          <w:p>
            <w:pPr>
              <w:pStyle w:val="Normal"/>
              <w:widowControl w:val="false"/>
              <w:spacing w:before="120" w:after="288"/>
              <w:rPr>
                <w:rFonts w:ascii="Arial" w:hAnsi="Arial" w:cs="Arial"/>
                <w:sz w:val="22"/>
                <w:szCs w:val="22"/>
              </w:rPr>
            </w:pPr>
            <w:r>
              <w:rPr>
                <w:rFonts w:cs="Arial" w:ascii="Arial" w:hAnsi="Arial"/>
                <w:sz w:val="22"/>
                <w:szCs w:val="22"/>
              </w:rPr>
            </w:r>
          </w:p>
        </w:tc>
        <w:tc>
          <w:tcPr>
            <w:tcW w:w="7020" w:type="dxa"/>
            <w:gridSpan w:val="3"/>
            <w:tcBorders/>
          </w:tcPr>
          <w:p>
            <w:pPr>
              <w:pStyle w:val="SubClauseText"/>
              <w:widowControl w:val="false"/>
              <w:numPr>
                <w:ilvl w:val="0"/>
                <w:numId w:val="71"/>
              </w:numPr>
              <w:tabs>
                <w:tab w:val="clear" w:pos="720"/>
                <w:tab w:val="left" w:pos="567" w:leader="none"/>
              </w:tabs>
              <w:spacing w:before="120" w:after="120"/>
              <w:ind w:left="590" w:hanging="576"/>
              <w:rPr>
                <w:rFonts w:ascii="Arial" w:hAnsi="Arial" w:cs="Arial"/>
                <w:sz w:val="22"/>
                <w:szCs w:val="22"/>
                <w:lang w:val="en-GB"/>
              </w:rPr>
            </w:pPr>
            <w:r>
              <w:rPr>
                <w:rFonts w:cs="Arial" w:ascii="Arial" w:hAnsi="Arial"/>
                <w:sz w:val="22"/>
                <w:szCs w:val="22"/>
                <w:lang w:val="en-GB"/>
              </w:rPr>
              <w:t>If a Tender for Goods is invited for a number of lots on a”lot-by-lot” basis, each such lot shall constitute a Tender.Tenderers shall submit only one (1) Tender for each lot.   Tenderer who submits more than one (1) Tender in one (1) lot of the package will cause all the Tenders of that particular Tenderer to be rejected.</w:t>
            </w:r>
          </w:p>
        </w:tc>
      </w:tr>
      <w:tr>
        <w:trPr/>
        <w:tc>
          <w:tcPr>
            <w:tcW w:w="2222" w:type="dxa"/>
            <w:tcBorders/>
          </w:tcPr>
          <w:p>
            <w:pPr>
              <w:pStyle w:val="Normal"/>
              <w:widowControl w:val="false"/>
              <w:numPr>
                <w:ilvl w:val="0"/>
                <w:numId w:val="31"/>
              </w:numPr>
              <w:spacing w:before="80" w:after="80"/>
              <w:ind w:left="360" w:hanging="346"/>
              <w:outlineLvl w:val="2"/>
              <w:rPr>
                <w:rFonts w:ascii="Arial" w:hAnsi="Arial" w:cs="Arial"/>
                <w:b/>
                <w:b/>
                <w:sz w:val="22"/>
                <w:szCs w:val="22"/>
                <w:lang w:val="en-GB"/>
              </w:rPr>
            </w:pPr>
            <w:bookmarkStart w:id="155" w:name="_Toc421454208"/>
            <w:r>
              <w:rPr>
                <w:rStyle w:val="Heading3Char"/>
                <w:rFonts w:ascii="Arial" w:hAnsi="Arial"/>
                <w:b/>
                <w:sz w:val="22"/>
                <w:szCs w:val="22"/>
              </w:rPr>
              <w:t>Cost of Tendering</w:t>
            </w:r>
            <w:bookmarkEnd w:id="155"/>
          </w:p>
        </w:tc>
        <w:tc>
          <w:tcPr>
            <w:tcW w:w="7020" w:type="dxa"/>
            <w:gridSpan w:val="3"/>
            <w:tcBorders/>
          </w:tcPr>
          <w:p>
            <w:pPr>
              <w:pStyle w:val="Normal"/>
              <w:widowControl w:val="false"/>
              <w:numPr>
                <w:ilvl w:val="0"/>
                <w:numId w:val="72"/>
              </w:numPr>
              <w:tabs>
                <w:tab w:val="clear" w:pos="720"/>
                <w:tab w:val="left" w:pos="549" w:leader="none"/>
              </w:tabs>
              <w:spacing w:before="120" w:after="120"/>
              <w:ind w:left="585" w:right="-72" w:hanging="576"/>
              <w:jc w:val="both"/>
              <w:rPr>
                <w:rFonts w:ascii="Arial" w:hAnsi="Arial" w:cs="Arial"/>
                <w:sz w:val="22"/>
                <w:szCs w:val="22"/>
                <w:lang w:val="en-GB"/>
              </w:rPr>
            </w:pPr>
            <w:r>
              <w:rPr>
                <w:rFonts w:cs="Arial" w:ascii="Arial" w:hAnsi="Arial"/>
                <w:sz w:val="22"/>
                <w:szCs w:val="22"/>
                <w:lang w:val="en-GB"/>
              </w:rPr>
              <w:t>Tenderers shall bear all costs associated with the preparation and submission of its Tender, and the Procuring Entity shall not be responsible or liable for those costs, regardless of the conduct or outcome of the Tendering process.</w:t>
            </w:r>
          </w:p>
        </w:tc>
      </w:tr>
      <w:tr>
        <w:trPr>
          <w:trHeight w:val="1080" w:hRule="atLeast"/>
        </w:trPr>
        <w:tc>
          <w:tcPr>
            <w:tcW w:w="2222" w:type="dxa"/>
            <w:vMerge w:val="restart"/>
            <w:tcBorders/>
            <w:shd w:color="auto" w:fill="auto" w:val="clear"/>
          </w:tcPr>
          <w:p>
            <w:pPr>
              <w:pStyle w:val="Normal"/>
              <w:widowControl w:val="false"/>
              <w:numPr>
                <w:ilvl w:val="0"/>
                <w:numId w:val="31"/>
              </w:numPr>
              <w:spacing w:before="80" w:after="80"/>
              <w:ind w:left="360" w:hanging="346"/>
              <w:outlineLvl w:val="2"/>
              <w:rPr>
                <w:rFonts w:ascii="Arial" w:hAnsi="Arial" w:cs="Arial"/>
                <w:b/>
                <w:b/>
                <w:sz w:val="22"/>
                <w:szCs w:val="22"/>
                <w:lang w:val="en-GB"/>
              </w:rPr>
            </w:pPr>
            <w:bookmarkStart w:id="156" w:name="_Toc421454209"/>
            <w:r>
              <w:rPr>
                <w:rStyle w:val="Heading3Char"/>
                <w:rFonts w:ascii="Arial" w:hAnsi="Arial"/>
                <w:b/>
                <w:sz w:val="22"/>
                <w:szCs w:val="22"/>
              </w:rPr>
              <w:t>Issuance and Sale of Tender Document</w:t>
            </w:r>
            <w:bookmarkEnd w:id="156"/>
          </w:p>
        </w:tc>
        <w:tc>
          <w:tcPr>
            <w:tcW w:w="7020" w:type="dxa"/>
            <w:gridSpan w:val="3"/>
            <w:tcBorders/>
          </w:tcPr>
          <w:p>
            <w:pPr>
              <w:pStyle w:val="SubClauseText"/>
              <w:widowControl w:val="false"/>
              <w:numPr>
                <w:ilvl w:val="0"/>
                <w:numId w:val="73"/>
              </w:numPr>
              <w:tabs>
                <w:tab w:val="clear" w:pos="720"/>
                <w:tab w:val="left" w:pos="567" w:leader="none"/>
              </w:tabs>
              <w:spacing w:before="120" w:after="120"/>
              <w:ind w:left="585" w:hanging="576"/>
              <w:rPr>
                <w:rFonts w:ascii="Arial" w:hAnsi="Arial" w:cs="Arial"/>
                <w:sz w:val="22"/>
                <w:szCs w:val="22"/>
                <w:lang w:val="en-GB"/>
              </w:rPr>
            </w:pPr>
            <w:r>
              <w:rPr>
                <w:rFonts w:cs="Arial" w:ascii="Arial" w:hAnsi="Arial"/>
                <w:sz w:val="22"/>
                <w:szCs w:val="22"/>
                <w:lang w:val="en-GB"/>
              </w:rPr>
              <w:t>The Procuring Entity shall make Tender Documents available immediately to the potential Tenderers, requesting and willing to purchase at the corresponding price by the date the advertisement has been published in the newspaper.</w:t>
            </w:r>
          </w:p>
        </w:tc>
      </w:tr>
      <w:tr>
        <w:trPr>
          <w:trHeight w:val="738" w:hRule="atLeast"/>
        </w:trPr>
        <w:tc>
          <w:tcPr>
            <w:tcW w:w="2222" w:type="dxa"/>
            <w:vMerge w:val="continue"/>
            <w:tcBorders/>
            <w:shd w:color="auto" w:fill="auto" w:val="clear"/>
          </w:tcPr>
          <w:p>
            <w:pPr>
              <w:pStyle w:val="Normal"/>
              <w:widowControl w:val="false"/>
              <w:spacing w:before="120" w:after="0"/>
              <w:rPr>
                <w:rFonts w:ascii="Arial" w:hAnsi="Arial" w:cs="Arial"/>
                <w:sz w:val="22"/>
                <w:szCs w:val="22"/>
              </w:rPr>
            </w:pPr>
            <w:r>
              <w:rPr>
                <w:rFonts w:cs="Arial" w:ascii="Arial" w:hAnsi="Arial"/>
                <w:sz w:val="22"/>
                <w:szCs w:val="22"/>
              </w:rPr>
            </w:r>
          </w:p>
        </w:tc>
        <w:tc>
          <w:tcPr>
            <w:tcW w:w="7020" w:type="dxa"/>
            <w:gridSpan w:val="3"/>
            <w:tcBorders/>
          </w:tcPr>
          <w:p>
            <w:pPr>
              <w:pStyle w:val="SubClauseText"/>
              <w:widowControl w:val="false"/>
              <w:numPr>
                <w:ilvl w:val="0"/>
                <w:numId w:val="73"/>
              </w:numPr>
              <w:tabs>
                <w:tab w:val="clear" w:pos="720"/>
                <w:tab w:val="left" w:pos="567" w:leader="none"/>
              </w:tabs>
              <w:spacing w:before="120" w:after="120"/>
              <w:ind w:left="585" w:hanging="576"/>
              <w:rPr>
                <w:rFonts w:ascii="Arial" w:hAnsi="Arial" w:cs="Arial"/>
                <w:sz w:val="22"/>
                <w:szCs w:val="22"/>
                <w:lang w:val="en-GB"/>
              </w:rPr>
            </w:pPr>
            <w:r>
              <w:rPr>
                <w:rFonts w:cs="Arial" w:ascii="Arial" w:hAnsi="Arial"/>
                <w:sz w:val="22"/>
                <w:szCs w:val="22"/>
              </w:rPr>
              <w:t>There shall not be any pre-conditions whatsoever, for sale of Tender Document and the sale of such Document shall be permitted up to the day prior to the day of deadline for the submission of Tender.</w:t>
            </w:r>
          </w:p>
        </w:tc>
      </w:tr>
      <w:tr>
        <w:trPr>
          <w:trHeight w:val="2070" w:hRule="atLeast"/>
        </w:trPr>
        <w:tc>
          <w:tcPr>
            <w:tcW w:w="2222" w:type="dxa"/>
            <w:vMerge w:val="restart"/>
            <w:tcBorders/>
            <w:shd w:color="auto" w:fill="auto" w:val="clear"/>
          </w:tcPr>
          <w:p>
            <w:pPr>
              <w:pStyle w:val="Normal"/>
              <w:widowControl w:val="false"/>
              <w:numPr>
                <w:ilvl w:val="0"/>
                <w:numId w:val="31"/>
              </w:numPr>
              <w:spacing w:before="80" w:after="80"/>
              <w:ind w:left="360" w:hanging="346"/>
              <w:outlineLvl w:val="2"/>
              <w:rPr>
                <w:rFonts w:ascii="Arial" w:hAnsi="Arial" w:cs="Arial"/>
                <w:b/>
                <w:b/>
                <w:sz w:val="22"/>
                <w:szCs w:val="22"/>
                <w:lang w:val="en-GB"/>
              </w:rPr>
            </w:pPr>
            <w:bookmarkStart w:id="157" w:name="_Toc421454210"/>
            <w:r>
              <w:rPr>
                <w:rStyle w:val="Heading3Char"/>
                <w:rFonts w:ascii="Arial" w:hAnsi="Arial"/>
                <w:b/>
                <w:sz w:val="22"/>
                <w:szCs w:val="22"/>
              </w:rPr>
              <w:t>Language of Tender</w:t>
            </w:r>
            <w:bookmarkEnd w:id="157"/>
          </w:p>
        </w:tc>
        <w:tc>
          <w:tcPr>
            <w:tcW w:w="7020" w:type="dxa"/>
            <w:gridSpan w:val="3"/>
            <w:tcBorders/>
          </w:tcPr>
          <w:p>
            <w:pPr>
              <w:pStyle w:val="SubClauseText"/>
              <w:widowControl w:val="false"/>
              <w:numPr>
                <w:ilvl w:val="0"/>
                <w:numId w:val="74"/>
              </w:numPr>
              <w:tabs>
                <w:tab w:val="clear" w:pos="720"/>
                <w:tab w:val="left" w:pos="567" w:leader="none"/>
              </w:tabs>
              <w:spacing w:before="120" w:after="120"/>
              <w:ind w:left="549" w:hanging="540"/>
              <w:rPr>
                <w:rFonts w:ascii="Arial" w:hAnsi="Arial" w:cs="Arial"/>
                <w:sz w:val="22"/>
                <w:szCs w:val="22"/>
                <w:lang w:val="en-GB"/>
              </w:rPr>
            </w:pPr>
            <w:r>
              <w:rPr>
                <w:rFonts w:cs="Arial" w:ascii="Arial" w:hAnsi="Arial"/>
                <w:sz w:val="22"/>
                <w:szCs w:val="22"/>
                <w:lang w:val="en-GB"/>
              </w:rPr>
              <w:t xml:space="preserve">Tenders shall be written in the English language. Correspondences and documents relating to the Tender may be written in English or </w:t>
            </w:r>
            <w:r>
              <w:rPr>
                <w:rFonts w:cs="Arial" w:ascii="Arial" w:hAnsi="Arial"/>
                <w:i/>
                <w:sz w:val="22"/>
                <w:szCs w:val="22"/>
                <w:lang w:val="en-GB"/>
              </w:rPr>
              <w:t>Bangla.</w:t>
            </w:r>
            <w:r>
              <w:rPr>
                <w:rFonts w:cs="Arial" w:ascii="Arial" w:hAnsi="Arial"/>
                <w:sz w:val="22"/>
                <w:szCs w:val="22"/>
                <w:lang w:val="en-GB"/>
              </w:rPr>
              <w:t xml:space="preserve"> Supporting documents and printed literature furnished by the Tenderer that are part of the Tender may be in another language, provided they are accompanied by an accurate translation of the relevant passages in the English or </w:t>
            </w:r>
            <w:r>
              <w:rPr>
                <w:rFonts w:cs="Arial" w:ascii="Arial" w:hAnsi="Arial"/>
                <w:i/>
                <w:sz w:val="22"/>
                <w:szCs w:val="22"/>
                <w:lang w:val="en-GB"/>
              </w:rPr>
              <w:t>Bangla</w:t>
            </w:r>
            <w:r>
              <w:rPr>
                <w:rFonts w:cs="Arial" w:ascii="Arial" w:hAnsi="Arial"/>
                <w:sz w:val="22"/>
                <w:szCs w:val="22"/>
                <w:lang w:val="en-GB"/>
              </w:rPr>
              <w:t xml:space="preserve"> language, in which case, for purposes of interpretation of the Tender, such translation shall govern.</w:t>
            </w:r>
          </w:p>
        </w:tc>
      </w:tr>
      <w:tr>
        <w:trPr>
          <w:trHeight w:val="522" w:hRule="atLeast"/>
        </w:trPr>
        <w:tc>
          <w:tcPr>
            <w:tcW w:w="2222" w:type="dxa"/>
            <w:vMerge w:val="continue"/>
            <w:tcBorders/>
            <w:shd w:color="auto" w:fill="auto" w:val="clear"/>
          </w:tcPr>
          <w:p>
            <w:pPr>
              <w:pStyle w:val="Normal"/>
              <w:widowControl w:val="false"/>
              <w:spacing w:before="120" w:after="120"/>
              <w:rPr>
                <w:rFonts w:ascii="Arial" w:hAnsi="Arial" w:cs="Arial"/>
                <w:sz w:val="22"/>
                <w:szCs w:val="22"/>
                <w:lang w:val="en-GB"/>
              </w:rPr>
            </w:pPr>
            <w:r>
              <w:rPr>
                <w:rFonts w:cs="Arial" w:ascii="Arial" w:hAnsi="Arial"/>
                <w:sz w:val="22"/>
                <w:szCs w:val="22"/>
                <w:lang w:val="en-GB"/>
              </w:rPr>
            </w:r>
          </w:p>
        </w:tc>
        <w:tc>
          <w:tcPr>
            <w:tcW w:w="7020" w:type="dxa"/>
            <w:gridSpan w:val="3"/>
            <w:tcBorders/>
          </w:tcPr>
          <w:p>
            <w:pPr>
              <w:pStyle w:val="SubClauseText"/>
              <w:widowControl w:val="false"/>
              <w:numPr>
                <w:ilvl w:val="0"/>
                <w:numId w:val="74"/>
              </w:numPr>
              <w:tabs>
                <w:tab w:val="clear" w:pos="720"/>
                <w:tab w:val="left" w:pos="567" w:leader="none"/>
              </w:tabs>
              <w:spacing w:before="120" w:after="120"/>
              <w:ind w:left="585" w:hanging="576"/>
              <w:rPr>
                <w:rFonts w:ascii="Arial" w:hAnsi="Arial" w:cs="Arial"/>
                <w:sz w:val="22"/>
                <w:szCs w:val="22"/>
                <w:lang w:val="en-GB"/>
              </w:rPr>
            </w:pPr>
            <w:r>
              <w:rPr>
                <w:rFonts w:cs="Arial" w:ascii="Arial" w:hAnsi="Arial"/>
                <w:sz w:val="22"/>
                <w:szCs w:val="22"/>
                <w:lang w:val="en-GB"/>
              </w:rPr>
              <w:t>Tenderers shall bear all costs of translation to the governing language and all risks of the accuracy of such translation.</w:t>
            </w:r>
          </w:p>
        </w:tc>
      </w:tr>
      <w:tr>
        <w:trPr/>
        <w:tc>
          <w:tcPr>
            <w:tcW w:w="2222" w:type="dxa"/>
            <w:tcBorders/>
          </w:tcPr>
          <w:p>
            <w:pPr>
              <w:pStyle w:val="Normal"/>
              <w:widowControl w:val="false"/>
              <w:numPr>
                <w:ilvl w:val="0"/>
                <w:numId w:val="31"/>
              </w:numPr>
              <w:spacing w:before="80" w:after="80"/>
              <w:ind w:left="360" w:hanging="346"/>
              <w:outlineLvl w:val="2"/>
              <w:rPr>
                <w:rFonts w:ascii="Arial" w:hAnsi="Arial" w:cs="Arial"/>
                <w:b/>
                <w:b/>
                <w:spacing w:val="-20"/>
                <w:sz w:val="22"/>
                <w:szCs w:val="22"/>
                <w:lang w:val="fr-FR"/>
              </w:rPr>
            </w:pPr>
            <w:bookmarkStart w:id="158" w:name="_Toc421454211"/>
            <w:r>
              <w:rPr>
                <w:rStyle w:val="Heading3Char"/>
                <w:rFonts w:ascii="Arial" w:hAnsi="Arial"/>
                <w:b/>
                <w:sz w:val="22"/>
                <w:szCs w:val="22"/>
              </w:rPr>
              <w:t>Contents of Tender</w:t>
            </w:r>
            <w:bookmarkEnd w:id="158"/>
          </w:p>
        </w:tc>
        <w:tc>
          <w:tcPr>
            <w:tcW w:w="7020" w:type="dxa"/>
            <w:gridSpan w:val="3"/>
            <w:tcBorders/>
          </w:tcPr>
          <w:p>
            <w:pPr>
              <w:pStyle w:val="SubClauseText"/>
              <w:widowControl w:val="false"/>
              <w:numPr>
                <w:ilvl w:val="0"/>
                <w:numId w:val="24"/>
              </w:numPr>
              <w:tabs>
                <w:tab w:val="clear" w:pos="720"/>
                <w:tab w:val="left" w:pos="567" w:leader="none"/>
              </w:tabs>
              <w:spacing w:before="120" w:after="120"/>
              <w:ind w:left="590" w:hanging="576"/>
              <w:rPr>
                <w:rFonts w:ascii="Arial" w:hAnsi="Arial" w:cs="Arial"/>
                <w:sz w:val="22"/>
                <w:szCs w:val="22"/>
                <w:lang w:val="en-GB"/>
              </w:rPr>
            </w:pPr>
            <w:r>
              <w:rPr>
                <w:rFonts w:cs="Arial" w:ascii="Arial" w:hAnsi="Arial"/>
                <w:sz w:val="22"/>
                <w:szCs w:val="22"/>
                <w:lang w:val="en-GB"/>
              </w:rPr>
              <w:t>The Tender prepared by the Tenderer shall comprise the following:</w:t>
            </w:r>
          </w:p>
          <w:p>
            <w:pPr>
              <w:pStyle w:val="Normal"/>
              <w:widowControl w:val="false"/>
              <w:numPr>
                <w:ilvl w:val="0"/>
                <w:numId w:val="1"/>
              </w:numPr>
              <w:tabs>
                <w:tab w:val="clear" w:pos="720"/>
                <w:tab w:val="left" w:pos="1125" w:leader="none"/>
              </w:tabs>
              <w:spacing w:before="120" w:after="120"/>
              <w:ind w:left="1124" w:hanging="562"/>
              <w:jc w:val="both"/>
              <w:rPr>
                <w:rFonts w:ascii="Arial" w:hAnsi="Arial" w:cs="Arial"/>
                <w:spacing w:val="-4"/>
                <w:sz w:val="22"/>
                <w:szCs w:val="22"/>
                <w:lang w:val="en-GB"/>
              </w:rPr>
            </w:pPr>
            <w:r>
              <w:rPr>
                <w:rFonts w:eastAsia="Times New Roman" w:cs="Arial" w:ascii="Arial" w:hAnsi="Arial"/>
                <w:spacing w:val="-4"/>
                <w:sz w:val="22"/>
                <w:szCs w:val="22"/>
                <w:lang w:val="en-GB" w:eastAsia="en-US"/>
              </w:rPr>
              <w:t xml:space="preserve">the Tender Submission Letter  </w:t>
            </w:r>
            <w:r>
              <w:rPr>
                <w:rFonts w:cs="Arial" w:ascii="Arial" w:hAnsi="Arial"/>
                <w:b/>
                <w:sz w:val="22"/>
                <w:szCs w:val="22"/>
                <w:lang w:val="en-GB"/>
              </w:rPr>
              <w:t>(Form PG3-1)</w:t>
            </w:r>
            <w:r>
              <w:rPr>
                <w:rFonts w:eastAsia="Times New Roman" w:cs="Arial" w:ascii="Arial" w:hAnsi="Arial"/>
                <w:spacing w:val="-4"/>
                <w:sz w:val="22"/>
                <w:szCs w:val="22"/>
                <w:lang w:val="en-GB" w:eastAsia="en-US"/>
              </w:rPr>
              <w:t>, as stated under with ITT Sub Clause 22.1</w:t>
            </w:r>
            <w:r>
              <w:rPr>
                <w:rFonts w:cs="Arial" w:ascii="Arial" w:hAnsi="Arial"/>
                <w:sz w:val="22"/>
                <w:szCs w:val="22"/>
                <w:lang w:val="en-GB"/>
              </w:rPr>
              <w:t>;</w:t>
            </w:r>
          </w:p>
          <w:p>
            <w:pPr>
              <w:pStyle w:val="Normal"/>
              <w:widowControl w:val="false"/>
              <w:numPr>
                <w:ilvl w:val="0"/>
                <w:numId w:val="1"/>
              </w:numPr>
              <w:tabs>
                <w:tab w:val="clear" w:pos="720"/>
                <w:tab w:val="left" w:pos="1125" w:leader="none"/>
              </w:tabs>
              <w:spacing w:before="120" w:after="120"/>
              <w:ind w:left="1124" w:hanging="562"/>
              <w:jc w:val="both"/>
              <w:rPr>
                <w:rFonts w:ascii="Arial" w:hAnsi="Arial" w:cs="Arial"/>
                <w:spacing w:val="-4"/>
                <w:sz w:val="22"/>
                <w:szCs w:val="22"/>
                <w:lang w:val="en-GB"/>
              </w:rPr>
            </w:pPr>
            <w:r>
              <w:rPr>
                <w:rFonts w:cs="Arial" w:ascii="Arial" w:hAnsi="Arial"/>
                <w:sz w:val="22"/>
                <w:szCs w:val="22"/>
                <w:lang w:val="en-GB"/>
              </w:rPr>
              <w:t>the Tenderer Information as stated under ITT Clauses 5,26 and 27</w:t>
            </w:r>
            <w:r>
              <w:rPr>
                <w:rFonts w:cs="Arial" w:ascii="Arial" w:hAnsi="Arial"/>
                <w:b/>
                <w:sz w:val="22"/>
                <w:szCs w:val="22"/>
                <w:lang w:val="en-GB"/>
              </w:rPr>
              <w:t>(Form PG3-2)</w:t>
            </w:r>
            <w:r>
              <w:rPr>
                <w:rFonts w:cs="Arial" w:ascii="Arial" w:hAnsi="Arial"/>
                <w:sz w:val="22"/>
                <w:szCs w:val="22"/>
                <w:lang w:val="en-GB"/>
              </w:rPr>
              <w:t>;</w:t>
            </w:r>
          </w:p>
          <w:p>
            <w:pPr>
              <w:pStyle w:val="Normal"/>
              <w:widowControl w:val="false"/>
              <w:numPr>
                <w:ilvl w:val="0"/>
                <w:numId w:val="1"/>
              </w:numPr>
              <w:tabs>
                <w:tab w:val="clear" w:pos="720"/>
                <w:tab w:val="left" w:pos="1125" w:leader="none"/>
              </w:tabs>
              <w:spacing w:before="120" w:after="120"/>
              <w:ind w:left="1124" w:hanging="562"/>
              <w:jc w:val="both"/>
              <w:rPr>
                <w:rFonts w:ascii="Arial" w:hAnsi="Arial" w:cs="Arial"/>
                <w:spacing w:val="-4"/>
                <w:sz w:val="22"/>
                <w:szCs w:val="22"/>
                <w:lang w:val="en-GB"/>
              </w:rPr>
            </w:pPr>
            <w:bookmarkStart w:id="159" w:name="_Toc49406243"/>
            <w:r>
              <w:rPr>
                <w:rFonts w:cs="Arial" w:ascii="Arial" w:hAnsi="Arial"/>
                <w:sz w:val="22"/>
                <w:szCs w:val="22"/>
                <w:lang w:val="en-GB"/>
              </w:rPr>
              <w:t xml:space="preserve">the priced Schedule for each lot </w:t>
            </w:r>
            <w:r>
              <w:rPr>
                <w:rFonts w:cs="Arial" w:ascii="Arial" w:hAnsi="Arial"/>
                <w:b/>
                <w:sz w:val="22"/>
                <w:szCs w:val="22"/>
                <w:lang w:val="en-GB"/>
              </w:rPr>
              <w:t>(Form PG3-4A and PG3-4B)</w:t>
            </w:r>
            <w:r>
              <w:rPr>
                <w:rFonts w:cs="Arial" w:ascii="Arial" w:hAnsi="Arial"/>
                <w:sz w:val="22"/>
                <w:szCs w:val="22"/>
                <w:lang w:val="en-GB"/>
              </w:rPr>
              <w:t>as stated under</w:t>
            </w:r>
            <w:r>
              <w:rPr>
                <w:rFonts w:cs="Arial" w:ascii="Arial" w:hAnsi="Arial"/>
                <w:spacing w:val="-4"/>
                <w:sz w:val="22"/>
                <w:szCs w:val="22"/>
                <w:lang w:val="en-GB"/>
              </w:rPr>
              <w:t xml:space="preserve"> ITT Clauses  22, 24and </w:t>
            </w:r>
            <w:bookmarkEnd w:id="159"/>
            <w:r>
              <w:rPr>
                <w:rFonts w:cs="Arial" w:ascii="Arial" w:hAnsi="Arial"/>
                <w:spacing w:val="-4"/>
                <w:sz w:val="22"/>
                <w:szCs w:val="22"/>
                <w:lang w:val="en-GB"/>
              </w:rPr>
              <w:t>25;</w:t>
            </w:r>
          </w:p>
          <w:p>
            <w:pPr>
              <w:pStyle w:val="Normal"/>
              <w:widowControl w:val="false"/>
              <w:numPr>
                <w:ilvl w:val="0"/>
                <w:numId w:val="1"/>
              </w:numPr>
              <w:tabs>
                <w:tab w:val="clear" w:pos="720"/>
                <w:tab w:val="left" w:pos="1125" w:leader="none"/>
              </w:tabs>
              <w:spacing w:before="120" w:after="120"/>
              <w:ind w:left="1124" w:hanging="562"/>
              <w:jc w:val="both"/>
              <w:rPr>
                <w:rFonts w:ascii="Arial" w:hAnsi="Arial" w:cs="Arial"/>
                <w:spacing w:val="-4"/>
                <w:sz w:val="22"/>
                <w:szCs w:val="22"/>
                <w:lang w:val="en-GB"/>
              </w:rPr>
            </w:pPr>
            <w:bookmarkStart w:id="160" w:name="_Toc49406244"/>
            <w:bookmarkStart w:id="161" w:name="_Toc49406245"/>
            <w:r>
              <w:rPr>
                <w:rFonts w:cs="Arial" w:ascii="Arial" w:hAnsi="Arial"/>
                <w:spacing w:val="-4"/>
                <w:sz w:val="22"/>
                <w:szCs w:val="22"/>
                <w:lang w:val="en-GB"/>
              </w:rPr>
              <w:t>the Tender Security as stated under ITT Clause 31, 32 and 33;</w:t>
            </w:r>
            <w:bookmarkEnd w:id="161"/>
          </w:p>
          <w:p>
            <w:pPr>
              <w:pStyle w:val="Normal"/>
              <w:widowControl w:val="false"/>
              <w:numPr>
                <w:ilvl w:val="0"/>
                <w:numId w:val="1"/>
              </w:numPr>
              <w:tabs>
                <w:tab w:val="clear" w:pos="720"/>
                <w:tab w:val="left" w:pos="1125" w:leader="none"/>
              </w:tabs>
              <w:spacing w:before="120" w:after="120"/>
              <w:ind w:left="1124" w:hanging="562"/>
              <w:jc w:val="both"/>
              <w:rPr>
                <w:rFonts w:ascii="Arial" w:hAnsi="Arial" w:cs="Arial"/>
                <w:spacing w:val="-4"/>
                <w:sz w:val="22"/>
                <w:szCs w:val="22"/>
                <w:lang w:val="en-GB"/>
              </w:rPr>
            </w:pPr>
            <w:r>
              <w:rPr>
                <w:rFonts w:cs="Arial" w:ascii="Arial" w:hAnsi="Arial"/>
                <w:sz w:val="22"/>
                <w:szCs w:val="22"/>
                <w:lang w:val="en-GB"/>
              </w:rPr>
              <w:t xml:space="preserve">the completed Specifications Submission and Compliance Sheet </w:t>
            </w:r>
            <w:r>
              <w:rPr>
                <w:rFonts w:cs="Arial" w:ascii="Arial" w:hAnsi="Arial"/>
                <w:b/>
                <w:sz w:val="22"/>
                <w:szCs w:val="22"/>
                <w:lang w:val="en-GB"/>
              </w:rPr>
              <w:t>(Form PG3-5)</w:t>
            </w:r>
            <w:r>
              <w:rPr>
                <w:rFonts w:cs="Arial" w:ascii="Arial" w:hAnsi="Arial"/>
                <w:sz w:val="22"/>
                <w:szCs w:val="22"/>
                <w:lang w:val="en-GB"/>
              </w:rPr>
              <w:t>as stated under ITT clause 27.2;</w:t>
            </w:r>
            <w:bookmarkEnd w:id="160"/>
          </w:p>
          <w:p>
            <w:pPr>
              <w:pStyle w:val="Normal"/>
              <w:widowControl w:val="false"/>
              <w:numPr>
                <w:ilvl w:val="0"/>
                <w:numId w:val="1"/>
              </w:numPr>
              <w:tabs>
                <w:tab w:val="clear" w:pos="720"/>
                <w:tab w:val="left" w:pos="1125" w:leader="none"/>
              </w:tabs>
              <w:spacing w:before="120" w:after="120"/>
              <w:ind w:left="1124" w:hanging="562"/>
              <w:jc w:val="both"/>
              <w:rPr>
                <w:rFonts w:ascii="Arial" w:hAnsi="Arial" w:cs="Arial"/>
                <w:spacing w:val="-4"/>
                <w:sz w:val="22"/>
                <w:szCs w:val="22"/>
                <w:lang w:val="en-GB"/>
              </w:rPr>
            </w:pPr>
            <w:bookmarkStart w:id="162" w:name="_Toc49406246"/>
            <w:r>
              <w:rPr>
                <w:rFonts w:cs="Arial" w:ascii="Arial" w:hAnsi="Arial"/>
                <w:spacing w:val="-4"/>
                <w:sz w:val="22"/>
                <w:szCs w:val="22"/>
                <w:lang w:val="en-GB"/>
              </w:rPr>
              <w:t>the alternatives, if permissible, as stated under with ITT Clause 23;</w:t>
            </w:r>
            <w:bookmarkEnd w:id="162"/>
          </w:p>
          <w:p>
            <w:pPr>
              <w:pStyle w:val="Normal"/>
              <w:widowControl w:val="false"/>
              <w:numPr>
                <w:ilvl w:val="0"/>
                <w:numId w:val="1"/>
              </w:numPr>
              <w:tabs>
                <w:tab w:val="clear" w:pos="720"/>
                <w:tab w:val="left" w:pos="1125" w:leader="none"/>
              </w:tabs>
              <w:spacing w:before="120" w:after="120"/>
              <w:ind w:left="1124" w:hanging="562"/>
              <w:jc w:val="both"/>
              <w:rPr>
                <w:rFonts w:ascii="Arial" w:hAnsi="Arial" w:cs="Arial"/>
                <w:spacing w:val="-4"/>
                <w:sz w:val="22"/>
                <w:szCs w:val="22"/>
                <w:lang w:val="en-GB"/>
              </w:rPr>
            </w:pPr>
            <w:bookmarkStart w:id="163" w:name="_Toc49406247"/>
            <w:r>
              <w:rPr>
                <w:rFonts w:cs="Arial" w:ascii="Arial" w:hAnsi="Arial"/>
                <w:spacing w:val="-4"/>
                <w:sz w:val="22"/>
                <w:szCs w:val="22"/>
                <w:lang w:val="en-GB"/>
              </w:rPr>
              <w:t>the written confirmation authorising the signatory of the Tender to commit the Tenderer, as stated underITT SubClause 36.3;</w:t>
            </w:r>
            <w:bookmarkStart w:id="164" w:name="_Toc49406248"/>
            <w:bookmarkEnd w:id="163"/>
          </w:p>
          <w:p>
            <w:pPr>
              <w:pStyle w:val="Normal"/>
              <w:widowControl w:val="false"/>
              <w:numPr>
                <w:ilvl w:val="0"/>
                <w:numId w:val="1"/>
              </w:numPr>
              <w:tabs>
                <w:tab w:val="clear" w:pos="720"/>
                <w:tab w:val="left" w:pos="1125" w:leader="none"/>
              </w:tabs>
              <w:spacing w:before="120" w:after="120"/>
              <w:ind w:left="1124" w:hanging="562"/>
              <w:jc w:val="both"/>
              <w:rPr>
                <w:rFonts w:ascii="Arial" w:hAnsi="Arial" w:cs="Arial"/>
                <w:sz w:val="22"/>
                <w:szCs w:val="22"/>
              </w:rPr>
            </w:pPr>
            <w:r>
              <w:rPr>
                <w:rFonts w:cs="Arial" w:ascii="Arial" w:hAnsi="Arial"/>
                <w:sz w:val="22"/>
                <w:szCs w:val="22"/>
              </w:rPr>
              <w:t>the Valid Trade License;</w:t>
            </w:r>
          </w:p>
          <w:p>
            <w:pPr>
              <w:pStyle w:val="Normal"/>
              <w:widowControl w:val="false"/>
              <w:numPr>
                <w:ilvl w:val="0"/>
                <w:numId w:val="1"/>
              </w:numPr>
              <w:tabs>
                <w:tab w:val="clear" w:pos="720"/>
                <w:tab w:val="left" w:pos="1125" w:leader="none"/>
              </w:tabs>
              <w:spacing w:before="120" w:after="120"/>
              <w:ind w:left="1124" w:hanging="562"/>
              <w:jc w:val="both"/>
              <w:rPr>
                <w:rFonts w:ascii="Arial" w:hAnsi="Arial" w:cs="Arial"/>
                <w:sz w:val="22"/>
                <w:szCs w:val="22"/>
              </w:rPr>
            </w:pPr>
            <w:r>
              <w:rPr>
                <w:rFonts w:eastAsia="Times New Roman" w:cs="Arial" w:ascii="Arial" w:hAnsi="Arial"/>
                <w:spacing w:val="-4"/>
                <w:sz w:val="22"/>
                <w:szCs w:val="22"/>
                <w:lang w:val="en-GB" w:eastAsia="en-US"/>
              </w:rPr>
              <w:t>documentary evidence of Tax Identification Number (TIN) and Value Added Tax (VAT) as a proof of taxation obligations as stated under  ITT Sub Clause 5.</w:t>
            </w:r>
            <w:bookmarkEnd w:id="164"/>
            <w:r>
              <w:rPr>
                <w:rFonts w:eastAsia="Times New Roman" w:cs="Arial" w:ascii="Arial" w:hAnsi="Arial"/>
                <w:spacing w:val="-4"/>
                <w:sz w:val="22"/>
                <w:szCs w:val="22"/>
                <w:lang w:val="en-GB" w:eastAsia="en-US"/>
              </w:rPr>
              <w:t>4;</w:t>
            </w:r>
          </w:p>
          <w:p>
            <w:pPr>
              <w:pStyle w:val="Normal"/>
              <w:keepLines/>
              <w:widowControl w:val="false"/>
              <w:numPr>
                <w:ilvl w:val="0"/>
                <w:numId w:val="1"/>
              </w:numPr>
              <w:tabs>
                <w:tab w:val="clear" w:pos="720"/>
                <w:tab w:val="left" w:pos="1152" w:leader="none"/>
              </w:tabs>
              <w:spacing w:before="120" w:after="48"/>
              <w:ind w:left="1152" w:hanging="540"/>
              <w:jc w:val="both"/>
              <w:rPr>
                <w:rFonts w:ascii="Arial" w:hAnsi="Arial" w:eastAsia="Times New Roman" w:cs="Arial"/>
                <w:spacing w:val="-4"/>
                <w:sz w:val="22"/>
                <w:szCs w:val="22"/>
                <w:lang w:val="en-GB" w:eastAsia="en-US"/>
              </w:rPr>
            </w:pPr>
            <w:bookmarkStart w:id="165" w:name="_Toc49406250"/>
            <w:r>
              <w:rPr>
                <w:rFonts w:cs="Arial" w:ascii="Arial" w:hAnsi="Arial"/>
                <w:sz w:val="22"/>
                <w:szCs w:val="22"/>
                <w:lang w:val="en-GB"/>
              </w:rPr>
              <w:t xml:space="preserve">documentary evidence as stated under ITT </w:t>
            </w:r>
            <w:r>
              <w:rPr>
                <w:rFonts w:cs="Arial" w:ascii="Arial" w:hAnsi="Arial"/>
                <w:sz w:val="22"/>
                <w:szCs w:val="22"/>
                <w:highlight w:val="yellow"/>
                <w:lang w:val="en-GB"/>
              </w:rPr>
              <w:t>Clause 26, 27and 28;</w:t>
            </w:r>
            <w:bookmarkEnd w:id="165"/>
            <w:r>
              <w:rPr>
                <w:rFonts w:eastAsia="Times New Roman" w:cs="Arial" w:ascii="Arial" w:hAnsi="Arial"/>
                <w:spacing w:val="-4"/>
                <w:sz w:val="22"/>
                <w:szCs w:val="22"/>
                <w:lang w:val="en-GB" w:eastAsia="en-US"/>
              </w:rPr>
              <w:t xml:space="preserve"> establishing </w:t>
            </w:r>
            <w:r>
              <w:rPr>
                <w:rFonts w:cs="Arial" w:ascii="Arial" w:hAnsi="Arial"/>
                <w:sz w:val="22"/>
                <w:szCs w:val="22"/>
                <w:lang w:val="en-GB"/>
              </w:rPr>
              <w:t>the Tenderer’s eligibility, eligibility and conformity of the Goods and related services and, the minimum qualifications of the Tenderers required to be met for due performance of the Goods and related services  under the Contract;</w:t>
            </w:r>
          </w:p>
          <w:p>
            <w:pPr>
              <w:pStyle w:val="Normal"/>
              <w:widowControl w:val="false"/>
              <w:numPr>
                <w:ilvl w:val="0"/>
                <w:numId w:val="1"/>
              </w:numPr>
              <w:tabs>
                <w:tab w:val="clear" w:pos="720"/>
                <w:tab w:val="left" w:pos="1125" w:leader="none"/>
              </w:tabs>
              <w:spacing w:before="120" w:after="120"/>
              <w:ind w:left="1124" w:hanging="562"/>
              <w:jc w:val="both"/>
              <w:rPr>
                <w:rFonts w:ascii="Arial" w:hAnsi="Arial" w:cs="Arial"/>
                <w:spacing w:val="-4"/>
                <w:sz w:val="22"/>
                <w:szCs w:val="22"/>
                <w:lang w:val="en-GB"/>
              </w:rPr>
            </w:pPr>
            <w:r>
              <w:rPr>
                <w:rFonts w:cs="Arial" w:ascii="Arial" w:hAnsi="Arial"/>
                <w:spacing w:val="-4"/>
                <w:sz w:val="22"/>
                <w:szCs w:val="22"/>
                <w:lang w:val="en-GB"/>
              </w:rPr>
              <w:t>documents establishing legal and financial autonomy and compliance with commercial law, as stated under ITT Sub Clause 5.9 in case of government owned entity; and</w:t>
            </w:r>
          </w:p>
          <w:p>
            <w:pPr>
              <w:pStyle w:val="Normal"/>
              <w:widowControl w:val="false"/>
              <w:numPr>
                <w:ilvl w:val="0"/>
                <w:numId w:val="1"/>
              </w:numPr>
              <w:tabs>
                <w:tab w:val="clear" w:pos="720"/>
                <w:tab w:val="left" w:pos="1125" w:leader="none"/>
              </w:tabs>
              <w:spacing w:before="120" w:after="120"/>
              <w:ind w:left="1124" w:hanging="562"/>
              <w:jc w:val="both"/>
              <w:rPr>
                <w:rFonts w:ascii="Arial" w:hAnsi="Arial" w:cs="Arial"/>
                <w:spacing w:val="-4"/>
                <w:sz w:val="22"/>
                <w:szCs w:val="22"/>
                <w:lang w:val="en-GB"/>
              </w:rPr>
            </w:pPr>
            <w:r>
              <w:rPr>
                <w:rFonts w:cs="Arial" w:ascii="Arial" w:hAnsi="Arial"/>
                <w:sz w:val="22"/>
                <w:szCs w:val="22"/>
                <w:lang w:val="en-GB"/>
              </w:rPr>
              <w:t xml:space="preserve">any other document as specified in the </w:t>
            </w:r>
            <w:r>
              <w:rPr>
                <w:rFonts w:cs="Arial" w:ascii="Arial" w:hAnsi="Arial"/>
                <w:b/>
                <w:sz w:val="22"/>
                <w:szCs w:val="22"/>
                <w:lang w:val="en-GB"/>
              </w:rPr>
              <w:t>TDS</w:t>
            </w:r>
            <w:r>
              <w:rPr>
                <w:rFonts w:cs="Arial" w:ascii="Arial" w:hAnsi="Arial"/>
                <w:sz w:val="22"/>
                <w:szCs w:val="22"/>
                <w:lang w:val="en-GB"/>
              </w:rPr>
              <w:t>.</w:t>
            </w:r>
          </w:p>
        </w:tc>
      </w:tr>
      <w:tr>
        <w:trPr/>
        <w:tc>
          <w:tcPr>
            <w:tcW w:w="2222" w:type="dxa"/>
            <w:vMerge w:val="restart"/>
            <w:tcBorders/>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166" w:name="_Toc421454212"/>
            <w:r>
              <w:rPr>
                <w:rStyle w:val="Heading3Char"/>
                <w:rFonts w:ascii="Arial" w:hAnsi="Arial"/>
                <w:b/>
                <w:sz w:val="22"/>
                <w:szCs w:val="22"/>
              </w:rPr>
              <w:t>Tender Submission Letter and Price Schedule</w:t>
            </w:r>
            <w:bookmarkEnd w:id="166"/>
          </w:p>
        </w:tc>
        <w:tc>
          <w:tcPr>
            <w:tcW w:w="7020" w:type="dxa"/>
            <w:gridSpan w:val="3"/>
            <w:tcBorders/>
          </w:tcPr>
          <w:p>
            <w:pPr>
              <w:pStyle w:val="SubClauseText"/>
              <w:keepNext w:val="true"/>
              <w:keepLines/>
              <w:widowControl w:val="false"/>
              <w:numPr>
                <w:ilvl w:val="0"/>
                <w:numId w:val="138"/>
              </w:numPr>
              <w:spacing w:before="120" w:after="0"/>
              <w:rPr>
                <w:rFonts w:ascii="Arial" w:hAnsi="Arial" w:cs="Arial"/>
                <w:sz w:val="22"/>
                <w:szCs w:val="22"/>
                <w:lang w:val="en-GB"/>
              </w:rPr>
            </w:pPr>
            <w:r>
              <w:rPr>
                <w:rFonts w:cs="Arial" w:ascii="Arial" w:hAnsi="Arial"/>
                <w:sz w:val="22"/>
                <w:szCs w:val="22"/>
                <w:lang w:val="en-GB"/>
              </w:rPr>
              <w:t>Tenderers shall submit the Tender Submission Letter (</w:t>
            </w:r>
            <w:r>
              <w:rPr>
                <w:rFonts w:cs="Arial" w:ascii="Arial" w:hAnsi="Arial"/>
                <w:b/>
                <w:sz w:val="22"/>
                <w:szCs w:val="22"/>
                <w:lang w:val="en-GB"/>
              </w:rPr>
              <w:t>Form PG3-1</w:t>
            </w:r>
            <w:r>
              <w:rPr>
                <w:rFonts w:cs="Arial" w:ascii="Arial" w:hAnsi="Arial"/>
                <w:sz w:val="22"/>
                <w:szCs w:val="22"/>
                <w:lang w:val="en-GB"/>
              </w:rPr>
              <w:t>), which shall be completed without any alterations to its format, filling in all blank spaces with the information requested, failing which the Tender may be rejected as being incomplete.</w:t>
            </w:r>
          </w:p>
        </w:tc>
      </w:tr>
      <w:tr>
        <w:trPr/>
        <w:tc>
          <w:tcPr>
            <w:tcW w:w="2222" w:type="dxa"/>
            <w:vMerge w:val="continue"/>
            <w:tcBorders/>
          </w:tcPr>
          <w:p>
            <w:pPr>
              <w:pStyle w:val="Normal"/>
              <w:widowControl w:val="false"/>
              <w:numPr>
                <w:ilvl w:val="0"/>
                <w:numId w:val="0"/>
              </w:numPr>
              <w:spacing w:before="80" w:after="80"/>
              <w:ind w:left="0" w:hanging="0"/>
              <w:outlineLvl w:val="2"/>
              <w:rPr>
                <w:rStyle w:val="Heading3Char"/>
                <w:rFonts w:ascii="Arial" w:hAnsi="Arial"/>
                <w:b/>
                <w:b/>
                <w:sz w:val="22"/>
                <w:szCs w:val="22"/>
              </w:rPr>
            </w:pPr>
            <w:r>
              <w:rPr>
                <w:rFonts w:ascii="Arial" w:hAnsi="Arial"/>
                <w:b/>
                <w:sz w:val="22"/>
                <w:szCs w:val="22"/>
              </w:rPr>
            </w:r>
          </w:p>
        </w:tc>
        <w:tc>
          <w:tcPr>
            <w:tcW w:w="7020" w:type="dxa"/>
            <w:gridSpan w:val="3"/>
            <w:tcBorders/>
          </w:tcPr>
          <w:p>
            <w:pPr>
              <w:pStyle w:val="SubClauseText"/>
              <w:keepNext w:val="true"/>
              <w:keepLines/>
              <w:widowControl w:val="false"/>
              <w:numPr>
                <w:ilvl w:val="0"/>
                <w:numId w:val="138"/>
              </w:numPr>
              <w:spacing w:before="120" w:after="0"/>
              <w:rPr>
                <w:rFonts w:ascii="Arial" w:hAnsi="Arial" w:cs="Arial"/>
                <w:sz w:val="22"/>
                <w:szCs w:val="22"/>
                <w:lang w:val="en-GB"/>
              </w:rPr>
            </w:pPr>
            <w:r>
              <w:rPr>
                <w:rFonts w:cs="Arial" w:ascii="Arial" w:hAnsi="Arial"/>
                <w:sz w:val="22"/>
                <w:szCs w:val="22"/>
                <w:lang w:val="en-GB"/>
              </w:rPr>
              <w:t xml:space="preserve">Tenderers shall submit the priced Schedule using the form(s) furnished in </w:t>
            </w:r>
            <w:r>
              <w:rPr>
                <w:rFonts w:cs="Arial" w:ascii="Arial" w:hAnsi="Arial"/>
                <w:b/>
                <w:sz w:val="22"/>
                <w:szCs w:val="22"/>
                <w:lang w:val="en-GB"/>
              </w:rPr>
              <w:t>Section 5: Price Schedule.</w:t>
            </w:r>
          </w:p>
        </w:tc>
      </w:tr>
      <w:tr>
        <w:trPr/>
        <w:tc>
          <w:tcPr>
            <w:tcW w:w="2222" w:type="dxa"/>
            <w:vMerge w:val="continue"/>
            <w:tcBorders/>
          </w:tcPr>
          <w:p>
            <w:pPr>
              <w:pStyle w:val="Normal"/>
              <w:widowControl w:val="false"/>
              <w:numPr>
                <w:ilvl w:val="0"/>
                <w:numId w:val="0"/>
              </w:numPr>
              <w:spacing w:before="80" w:after="80"/>
              <w:ind w:left="0" w:hanging="0"/>
              <w:outlineLvl w:val="2"/>
              <w:rPr>
                <w:rStyle w:val="Heading3Char"/>
                <w:rFonts w:ascii="Arial" w:hAnsi="Arial"/>
                <w:b/>
                <w:b/>
                <w:sz w:val="22"/>
                <w:szCs w:val="22"/>
              </w:rPr>
            </w:pPr>
            <w:r>
              <w:rPr>
                <w:rFonts w:ascii="Arial" w:hAnsi="Arial"/>
                <w:b/>
                <w:sz w:val="22"/>
                <w:szCs w:val="22"/>
              </w:rPr>
            </w:r>
          </w:p>
        </w:tc>
        <w:tc>
          <w:tcPr>
            <w:tcW w:w="7020" w:type="dxa"/>
            <w:gridSpan w:val="3"/>
            <w:tcBorders/>
          </w:tcPr>
          <w:p>
            <w:pPr>
              <w:pStyle w:val="SubClauseText"/>
              <w:keepNext w:val="true"/>
              <w:keepLines/>
              <w:widowControl w:val="false"/>
              <w:numPr>
                <w:ilvl w:val="0"/>
                <w:numId w:val="138"/>
              </w:numPr>
              <w:spacing w:before="120" w:after="0"/>
              <w:rPr>
                <w:rFonts w:ascii="Arial" w:hAnsi="Arial" w:cs="Arial"/>
                <w:sz w:val="22"/>
                <w:szCs w:val="22"/>
                <w:lang w:val="en-GB"/>
              </w:rPr>
            </w:pPr>
            <w:r>
              <w:rPr>
                <w:rFonts w:cs="Arial" w:ascii="Arial" w:hAnsi="Arial"/>
                <w:sz w:val="22"/>
                <w:szCs w:val="22"/>
                <w:lang w:val="en-GB"/>
              </w:rPr>
              <w:t>If in preparing its Tender, the Tenderer has made errors in the unit rate or the total price, and wishes to correct such errors prior to submission of its Tender, it may do so, but shall ensure that each correction is initialled by the authorised person of the Tenderer</w:t>
            </w:r>
          </w:p>
        </w:tc>
      </w:tr>
      <w:tr>
        <w:trPr/>
        <w:tc>
          <w:tcPr>
            <w:tcW w:w="2222" w:type="dxa"/>
            <w:vMerge w:val="restart"/>
            <w:tcBorders/>
          </w:tcPr>
          <w:p>
            <w:pPr>
              <w:pStyle w:val="Normal"/>
              <w:widowControl w:val="false"/>
              <w:numPr>
                <w:ilvl w:val="0"/>
                <w:numId w:val="31"/>
              </w:numPr>
              <w:spacing w:before="80" w:after="80"/>
              <w:ind w:left="360" w:hanging="346"/>
              <w:outlineLvl w:val="2"/>
              <w:rPr>
                <w:rFonts w:ascii="Arial" w:hAnsi="Arial" w:cs="Arial"/>
                <w:b/>
                <w:b/>
                <w:sz w:val="22"/>
                <w:szCs w:val="22"/>
                <w:lang w:val="en-GB"/>
              </w:rPr>
            </w:pPr>
            <w:bookmarkStart w:id="167" w:name="_Toc421454213"/>
            <w:r>
              <w:rPr>
                <w:rStyle w:val="Heading3Char"/>
                <w:rFonts w:ascii="Arial" w:hAnsi="Arial"/>
                <w:b/>
                <w:sz w:val="22"/>
                <w:szCs w:val="22"/>
              </w:rPr>
              <w:t>Alternatives</w:t>
            </w:r>
            <w:bookmarkEnd w:id="167"/>
          </w:p>
        </w:tc>
        <w:tc>
          <w:tcPr>
            <w:tcW w:w="7020" w:type="dxa"/>
            <w:gridSpan w:val="3"/>
            <w:tcBorders/>
          </w:tcPr>
          <w:p>
            <w:pPr>
              <w:pStyle w:val="SubClauseText"/>
              <w:keepNext w:val="true"/>
              <w:keepLines/>
              <w:widowControl w:val="false"/>
              <w:numPr>
                <w:ilvl w:val="0"/>
                <w:numId w:val="75"/>
              </w:numPr>
              <w:tabs>
                <w:tab w:val="clear" w:pos="720"/>
                <w:tab w:val="left" w:pos="612" w:leader="none"/>
              </w:tabs>
              <w:spacing w:before="120" w:after="0"/>
              <w:ind w:left="612" w:hanging="630"/>
              <w:rPr>
                <w:rFonts w:ascii="Arial" w:hAnsi="Arial" w:cs="Arial"/>
                <w:sz w:val="22"/>
                <w:szCs w:val="22"/>
                <w:lang w:val="en-GB"/>
              </w:rPr>
            </w:pPr>
            <w:r>
              <w:rPr>
                <w:rFonts w:cs="Arial" w:ascii="Arial" w:hAnsi="Arial"/>
                <w:sz w:val="22"/>
                <w:szCs w:val="22"/>
                <w:lang w:val="en-GB"/>
              </w:rPr>
              <w:t xml:space="preserve">Unless otherwise stated in the </w:t>
            </w:r>
            <w:r>
              <w:rPr>
                <w:rFonts w:cs="Arial" w:ascii="Arial" w:hAnsi="Arial"/>
                <w:b/>
                <w:sz w:val="22"/>
                <w:szCs w:val="22"/>
                <w:lang w:val="en-GB"/>
              </w:rPr>
              <w:t>TDS</w:t>
            </w:r>
            <w:r>
              <w:rPr>
                <w:rFonts w:cs="Arial" w:ascii="Arial" w:hAnsi="Arial"/>
                <w:sz w:val="22"/>
                <w:szCs w:val="22"/>
                <w:lang w:val="en-GB"/>
              </w:rPr>
              <w:t>, Technical alternatives shall not be considered.</w:t>
            </w:r>
          </w:p>
        </w:tc>
      </w:tr>
      <w:tr>
        <w:trPr/>
        <w:tc>
          <w:tcPr>
            <w:tcW w:w="2222" w:type="dxa"/>
            <w:vMerge w:val="continue"/>
            <w:tcBorders/>
          </w:tcPr>
          <w:p>
            <w:pPr>
              <w:pStyle w:val="Normal"/>
              <w:widowControl w:val="false"/>
              <w:numPr>
                <w:ilvl w:val="0"/>
                <w:numId w:val="0"/>
              </w:numPr>
              <w:spacing w:before="80" w:after="80"/>
              <w:ind w:left="0" w:hanging="0"/>
              <w:outlineLvl w:val="2"/>
              <w:rPr>
                <w:rStyle w:val="Heading3Char"/>
                <w:rFonts w:ascii="Arial" w:hAnsi="Arial"/>
                <w:b/>
                <w:b/>
                <w:sz w:val="22"/>
                <w:szCs w:val="22"/>
              </w:rPr>
            </w:pPr>
            <w:r>
              <w:rPr>
                <w:rFonts w:ascii="Arial" w:hAnsi="Arial"/>
                <w:b/>
                <w:sz w:val="22"/>
                <w:szCs w:val="22"/>
              </w:rPr>
            </w:r>
          </w:p>
        </w:tc>
        <w:tc>
          <w:tcPr>
            <w:tcW w:w="7020" w:type="dxa"/>
            <w:gridSpan w:val="3"/>
            <w:tcBorders/>
          </w:tcPr>
          <w:p>
            <w:pPr>
              <w:pStyle w:val="SubClauseText"/>
              <w:keepNext w:val="true"/>
              <w:keepLines/>
              <w:widowControl w:val="false"/>
              <w:numPr>
                <w:ilvl w:val="0"/>
                <w:numId w:val="75"/>
              </w:numPr>
              <w:tabs>
                <w:tab w:val="clear" w:pos="720"/>
                <w:tab w:val="left" w:pos="567" w:leader="none"/>
              </w:tabs>
              <w:spacing w:before="120" w:after="0"/>
              <w:ind w:left="590" w:hanging="608"/>
              <w:rPr>
                <w:rFonts w:ascii="Arial" w:hAnsi="Arial" w:cs="Arial"/>
                <w:sz w:val="22"/>
                <w:szCs w:val="22"/>
                <w:lang w:val="en-GB"/>
              </w:rPr>
            </w:pPr>
            <w:r>
              <w:rPr>
                <w:rFonts w:cs="Arial" w:ascii="Arial" w:hAnsi="Arial"/>
                <w:sz w:val="22"/>
                <w:szCs w:val="22"/>
                <w:lang w:val="en-GB"/>
              </w:rPr>
              <w:t>Only the technica</w:t>
            </w:r>
            <w:r>
              <w:rPr>
                <w:rFonts w:cs="Arial" w:ascii="Arial" w:hAnsi="Arial"/>
                <w:sz w:val="22"/>
                <w:szCs w:val="22"/>
                <w:highlight w:val="yellow"/>
                <w:lang w:val="en-GB"/>
              </w:rPr>
              <w:t>l</w:t>
            </w:r>
            <w:r>
              <w:rPr>
                <w:rFonts w:cs="Arial" w:ascii="Arial" w:hAnsi="Arial"/>
                <w:sz w:val="22"/>
                <w:szCs w:val="22"/>
                <w:lang w:val="en-GB"/>
              </w:rPr>
              <w:t xml:space="preserve"> alternatives, if any, of the lowest evaluated Tenderer conforming to the basic technical requirements will be considered by the Procuring Entity.</w:t>
            </w:r>
          </w:p>
        </w:tc>
      </w:tr>
      <w:tr>
        <w:trPr/>
        <w:tc>
          <w:tcPr>
            <w:tcW w:w="2222" w:type="dxa"/>
            <w:vMerge w:val="restart"/>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168" w:name="_Toc37047288"/>
            <w:bookmarkStart w:id="169" w:name="_Toc37234059"/>
            <w:bookmarkStart w:id="170" w:name="_Toc421454214"/>
            <w:bookmarkStart w:id="171" w:name="_Toc438438835"/>
            <w:bookmarkStart w:id="172" w:name="_Toc438532588"/>
            <w:bookmarkStart w:id="173" w:name="_Toc438733979"/>
            <w:bookmarkStart w:id="174" w:name="_Toc438907018"/>
            <w:bookmarkStart w:id="175" w:name="_Toc49504645"/>
            <w:bookmarkStart w:id="176" w:name="_Toc49504764"/>
            <w:bookmarkStart w:id="177" w:name="_Toc49569781"/>
            <w:bookmarkStart w:id="178" w:name="_Toc49591691"/>
            <w:bookmarkStart w:id="179" w:name="_Toc49591343"/>
            <w:bookmarkStart w:id="180" w:name="_Toc49504211"/>
            <w:bookmarkStart w:id="181" w:name="_Toc438907217"/>
            <w:r>
              <w:rPr>
                <w:rStyle w:val="Heading3Char"/>
                <w:rFonts w:ascii="Arial" w:hAnsi="Arial"/>
                <w:b/>
                <w:sz w:val="22"/>
                <w:szCs w:val="22"/>
              </w:rPr>
              <w:t>Tender Prices</w:t>
            </w:r>
            <w:bookmarkEnd w:id="168"/>
            <w:bookmarkEnd w:id="169"/>
            <w:bookmarkEnd w:id="171"/>
            <w:bookmarkEnd w:id="172"/>
            <w:bookmarkEnd w:id="173"/>
            <w:bookmarkEnd w:id="174"/>
            <w:bookmarkEnd w:id="181"/>
            <w:r>
              <w:rPr>
                <w:rStyle w:val="Heading3Char"/>
                <w:rFonts w:ascii="Arial" w:hAnsi="Arial"/>
                <w:b/>
                <w:sz w:val="22"/>
                <w:szCs w:val="22"/>
              </w:rPr>
              <w:t xml:space="preserve"> and Discounts</w:t>
            </w:r>
            <w:bookmarkEnd w:id="170"/>
            <w:bookmarkEnd w:id="175"/>
            <w:bookmarkEnd w:id="176"/>
            <w:bookmarkEnd w:id="177"/>
            <w:bookmarkEnd w:id="178"/>
            <w:bookmarkEnd w:id="179"/>
            <w:bookmarkEnd w:id="180"/>
          </w:p>
        </w:tc>
        <w:tc>
          <w:tcPr>
            <w:tcW w:w="7020" w:type="dxa"/>
            <w:gridSpan w:val="3"/>
            <w:tcBorders/>
          </w:tcPr>
          <w:p>
            <w:pPr>
              <w:pStyle w:val="Normal"/>
              <w:widowControl w:val="false"/>
              <w:numPr>
                <w:ilvl w:val="0"/>
                <w:numId w:val="76"/>
              </w:numPr>
              <w:spacing w:before="120" w:after="120"/>
              <w:ind w:left="540" w:hanging="558"/>
              <w:jc w:val="both"/>
              <w:rPr>
                <w:rFonts w:ascii="Arial" w:hAnsi="Arial" w:cs="Arial"/>
                <w:sz w:val="22"/>
                <w:szCs w:val="22"/>
                <w:lang w:val="en-GB"/>
              </w:rPr>
            </w:pPr>
            <w:r>
              <w:rPr>
                <w:rFonts w:cs="Arial" w:ascii="Arial" w:hAnsi="Arial"/>
                <w:sz w:val="22"/>
                <w:szCs w:val="22"/>
                <w:lang w:val="en-GB"/>
              </w:rPr>
              <w:t xml:space="preserve">The prices and discounts quoted by the Tenderer in the Tender Submission Letter </w:t>
            </w:r>
            <w:r>
              <w:rPr>
                <w:rFonts w:cs="Arial" w:ascii="Arial" w:hAnsi="Arial"/>
                <w:b/>
                <w:sz w:val="22"/>
                <w:szCs w:val="22"/>
                <w:lang w:val="en-GB"/>
              </w:rPr>
              <w:t>(Form PG3-1)</w:t>
            </w:r>
            <w:r>
              <w:rPr>
                <w:rFonts w:cs="Arial" w:ascii="Arial" w:hAnsi="Arial"/>
                <w:sz w:val="22"/>
                <w:szCs w:val="22"/>
                <w:lang w:val="en-GB"/>
              </w:rPr>
              <w:t xml:space="preserve"> and in the Price Schedule </w:t>
            </w:r>
            <w:r>
              <w:rPr>
                <w:rFonts w:cs="Arial" w:ascii="Arial" w:hAnsi="Arial"/>
                <w:b/>
                <w:sz w:val="22"/>
                <w:szCs w:val="22"/>
                <w:lang w:val="en-GB"/>
              </w:rPr>
              <w:t>(Form PG3-4A and PG3-4B)</w:t>
            </w:r>
            <w:r>
              <w:rPr>
                <w:rFonts w:cs="Arial" w:ascii="Arial" w:hAnsi="Arial"/>
                <w:sz w:val="22"/>
                <w:szCs w:val="22"/>
                <w:lang w:val="en-GB"/>
              </w:rPr>
              <w:t xml:space="preserve"> shall conform to the requirements specified below.</w:t>
            </w:r>
          </w:p>
        </w:tc>
      </w:tr>
      <w:tr>
        <w:trPr/>
        <w:tc>
          <w:tcPr>
            <w:tcW w:w="2222" w:type="dxa"/>
            <w:vMerge w:val="continue"/>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r>
              <w:rPr>
                <w:rFonts w:ascii="Arial" w:hAnsi="Arial"/>
                <w:b/>
                <w:sz w:val="22"/>
                <w:szCs w:val="22"/>
              </w:rPr>
            </w:r>
            <w:bookmarkStart w:id="182" w:name="_Toc337539849"/>
            <w:bookmarkStart w:id="183" w:name="_Toc338337549"/>
            <w:bookmarkStart w:id="184" w:name="_Toc421014733"/>
            <w:bookmarkStart w:id="185" w:name="_Toc421454215"/>
            <w:bookmarkStart w:id="186" w:name="_Toc337539849"/>
            <w:bookmarkStart w:id="187" w:name="_Toc338337549"/>
            <w:bookmarkStart w:id="188" w:name="_Toc421014733"/>
            <w:bookmarkStart w:id="189" w:name="_Toc421454215"/>
            <w:bookmarkEnd w:id="186"/>
            <w:bookmarkEnd w:id="187"/>
            <w:bookmarkEnd w:id="188"/>
            <w:bookmarkEnd w:id="189"/>
          </w:p>
        </w:tc>
        <w:tc>
          <w:tcPr>
            <w:tcW w:w="7020" w:type="dxa"/>
            <w:gridSpan w:val="3"/>
            <w:tcBorders/>
          </w:tcPr>
          <w:p>
            <w:pPr>
              <w:pStyle w:val="Normal"/>
              <w:widowControl w:val="false"/>
              <w:numPr>
                <w:ilvl w:val="0"/>
                <w:numId w:val="76"/>
              </w:numPr>
              <w:tabs>
                <w:tab w:val="clear" w:pos="720"/>
                <w:tab w:val="left" w:pos="567" w:leader="none"/>
              </w:tabs>
              <w:spacing w:before="120" w:after="120"/>
              <w:ind w:left="585" w:hanging="576"/>
              <w:jc w:val="both"/>
              <w:rPr>
                <w:rFonts w:ascii="Arial" w:hAnsi="Arial" w:cs="Arial"/>
                <w:sz w:val="22"/>
                <w:szCs w:val="22"/>
                <w:lang w:val="en-GB"/>
              </w:rPr>
            </w:pPr>
            <w:r>
              <w:rPr>
                <w:rFonts w:eastAsia="Times New Roman" w:cs="Arial" w:ascii="Arial" w:hAnsi="Arial"/>
                <w:spacing w:val="-4"/>
                <w:sz w:val="22"/>
                <w:szCs w:val="22"/>
                <w:lang w:val="en-GB" w:eastAsia="en-US"/>
              </w:rPr>
              <w:t>Tenderers shall fill in unit rates for the items of the Goodsboth in figures and in words as described in the Price Schedule.</w:t>
            </w:r>
          </w:p>
        </w:tc>
      </w:tr>
      <w:tr>
        <w:trPr>
          <w:trHeight w:val="873" w:hRule="atLeast"/>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Normal"/>
              <w:widowControl w:val="false"/>
              <w:numPr>
                <w:ilvl w:val="0"/>
                <w:numId w:val="76"/>
              </w:numPr>
              <w:tabs>
                <w:tab w:val="clear" w:pos="720"/>
                <w:tab w:val="left" w:pos="567" w:leader="none"/>
              </w:tabs>
              <w:spacing w:before="120" w:after="120"/>
              <w:ind w:left="585" w:hanging="576"/>
              <w:jc w:val="both"/>
              <w:rPr>
                <w:rFonts w:ascii="Arial" w:hAnsi="Arial" w:cs="Arial"/>
                <w:sz w:val="22"/>
                <w:szCs w:val="22"/>
                <w:lang w:val="en-GB"/>
              </w:rPr>
            </w:pPr>
            <w:r>
              <w:rPr>
                <w:rFonts w:cs="Arial" w:ascii="Arial" w:hAnsi="Arial"/>
                <w:sz w:val="22"/>
                <w:szCs w:val="22"/>
                <w:lang w:val="en-GB"/>
              </w:rPr>
              <w:t xml:space="preserve">Tenders are being invited either for one or more items on an ‘item-by-item” basis or fora single lot or for a number of lots on ”lot-by-lot’ basis, as specified in the </w:t>
            </w:r>
            <w:r>
              <w:rPr>
                <w:rFonts w:cs="Arial" w:ascii="Arial" w:hAnsi="Arial"/>
                <w:b/>
                <w:sz w:val="22"/>
                <w:szCs w:val="22"/>
                <w:lang w:val="en-GB"/>
              </w:rPr>
              <w:t>TDS</w:t>
            </w:r>
            <w:r>
              <w:rPr>
                <w:rFonts w:cs="Arial" w:ascii="Arial" w:hAnsi="Arial"/>
                <w:sz w:val="22"/>
                <w:szCs w:val="22"/>
                <w:lang w:val="en-GB"/>
              </w:rPr>
              <w:t>.</w:t>
            </w:r>
          </w:p>
        </w:tc>
      </w:tr>
      <w:tr>
        <w:trPr>
          <w:trHeight w:val="873" w:hRule="atLeast"/>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Normal"/>
              <w:widowControl w:val="false"/>
              <w:numPr>
                <w:ilvl w:val="0"/>
                <w:numId w:val="76"/>
              </w:numPr>
              <w:tabs>
                <w:tab w:val="clear" w:pos="720"/>
                <w:tab w:val="left" w:pos="567" w:leader="none"/>
              </w:tabs>
              <w:spacing w:before="120" w:after="120"/>
              <w:ind w:left="585" w:hanging="576"/>
              <w:jc w:val="both"/>
              <w:rPr>
                <w:rFonts w:ascii="Arial" w:hAnsi="Arial" w:cs="Arial"/>
                <w:sz w:val="22"/>
                <w:szCs w:val="22"/>
                <w:lang w:val="en-GB"/>
              </w:rPr>
            </w:pPr>
            <w:r>
              <w:rPr>
                <w:rFonts w:cs="Arial" w:ascii="Arial" w:hAnsi="Arial"/>
                <w:sz w:val="22"/>
                <w:szCs w:val="22"/>
                <w:lang w:val="en-GB"/>
              </w:rPr>
              <w:t xml:space="preserve">All items or lots in Section 6: </w:t>
            </w:r>
            <w:r>
              <w:rPr>
                <w:rFonts w:cs="Arial" w:ascii="Arial" w:hAnsi="Arial"/>
                <w:b/>
                <w:sz w:val="22"/>
                <w:szCs w:val="22"/>
                <w:lang w:val="en-GB"/>
              </w:rPr>
              <w:t>Schedule of Requirements</w:t>
            </w:r>
            <w:r>
              <w:rPr>
                <w:rFonts w:cs="Arial" w:ascii="Arial" w:hAnsi="Arial"/>
                <w:sz w:val="22"/>
                <w:szCs w:val="22"/>
                <w:lang w:val="en-GB"/>
              </w:rPr>
              <w:t xml:space="preserve"> must be listed and priced separately on the Price Schedule following the Form </w:t>
            </w:r>
            <w:r>
              <w:rPr>
                <w:rFonts w:cs="Arial" w:ascii="Arial" w:hAnsi="Arial"/>
                <w:b/>
                <w:sz w:val="22"/>
                <w:szCs w:val="22"/>
                <w:lang w:val="en-GB"/>
              </w:rPr>
              <w:t>PG3-4A</w:t>
            </w:r>
            <w:r>
              <w:rPr>
                <w:rFonts w:cs="Arial" w:ascii="Arial" w:hAnsi="Arial"/>
                <w:sz w:val="22"/>
                <w:szCs w:val="22"/>
                <w:lang w:val="en-GB"/>
              </w:rPr>
              <w:t xml:space="preserve"> and </w:t>
            </w:r>
            <w:r>
              <w:rPr>
                <w:rFonts w:cs="Arial" w:ascii="Arial" w:hAnsi="Arial"/>
                <w:b/>
                <w:sz w:val="22"/>
                <w:szCs w:val="22"/>
                <w:lang w:val="en-GB"/>
              </w:rPr>
              <w:t>PG3-4B</w:t>
            </w:r>
            <w:r>
              <w:rPr>
                <w:rFonts w:cs="Arial" w:ascii="Arial" w:hAnsi="Arial"/>
                <w:sz w:val="22"/>
                <w:szCs w:val="22"/>
                <w:lang w:val="en-GB"/>
              </w:rPr>
              <w:t>.</w:t>
            </w:r>
          </w:p>
        </w:tc>
      </w:tr>
      <w:tr>
        <w:trPr>
          <w:trHeight w:val="1755" w:hRule="atLeast"/>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Normal"/>
              <w:widowControl w:val="false"/>
              <w:numPr>
                <w:ilvl w:val="0"/>
                <w:numId w:val="76"/>
              </w:numPr>
              <w:tabs>
                <w:tab w:val="clear" w:pos="720"/>
                <w:tab w:val="left" w:pos="567" w:leader="none"/>
              </w:tabs>
              <w:spacing w:before="120" w:after="120"/>
              <w:ind w:left="585" w:hanging="576"/>
              <w:jc w:val="both"/>
              <w:rPr>
                <w:rFonts w:ascii="Arial" w:hAnsi="Arial" w:cs="Arial"/>
                <w:sz w:val="22"/>
                <w:szCs w:val="22"/>
                <w:lang w:val="en-GB"/>
              </w:rPr>
            </w:pPr>
            <w:r>
              <w:rPr>
                <w:rFonts w:cs="Arial" w:ascii="Arial" w:hAnsi="Arial"/>
                <w:sz w:val="22"/>
                <w:szCs w:val="22"/>
                <w:lang w:val="en-GB"/>
              </w:rPr>
              <w:t xml:space="preserve">Tenders being invited either for one or more items on an “item-by-item’ basis or for a single lot/package or for number of lots on “lot-by-lot” basis as stated under ITT Sub Clause </w:t>
            </w:r>
            <w:r>
              <w:rPr>
                <w:rFonts w:cs="Arial" w:ascii="Arial" w:hAnsi="Arial"/>
                <w:sz w:val="22"/>
                <w:szCs w:val="22"/>
                <w:highlight w:val="yellow"/>
                <w:lang w:val="en-GB"/>
              </w:rPr>
              <w:t>24.</w:t>
            </w:r>
            <w:r>
              <w:rPr>
                <w:rFonts w:cs="Arial" w:ascii="Arial" w:hAnsi="Arial"/>
                <w:sz w:val="22"/>
                <w:szCs w:val="22"/>
                <w:lang w:val="en-GB"/>
              </w:rPr>
              <w:t>3, price quoted for an item shall correspond to full quantity under that particular item; otherwise the Tenders shall be considered non-responsive.</w:t>
            </w:r>
          </w:p>
        </w:tc>
      </w:tr>
      <w:tr>
        <w:trPr>
          <w:trHeight w:val="873" w:hRule="atLeast"/>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Normal"/>
              <w:widowControl w:val="false"/>
              <w:numPr>
                <w:ilvl w:val="0"/>
                <w:numId w:val="76"/>
              </w:numPr>
              <w:tabs>
                <w:tab w:val="clear" w:pos="720"/>
                <w:tab w:val="left" w:pos="567" w:leader="none"/>
              </w:tabs>
              <w:spacing w:before="80" w:after="40"/>
              <w:ind w:left="585" w:hanging="576"/>
              <w:jc w:val="both"/>
              <w:rPr>
                <w:sz w:val="28"/>
                <w:szCs w:val="28"/>
                <w:highlight w:val="yellow"/>
              </w:rPr>
            </w:pPr>
            <w:r>
              <w:rPr>
                <w:rFonts w:cs="Arial" w:ascii="Arial" w:hAnsi="Arial"/>
                <w:sz w:val="22"/>
                <w:szCs w:val="22"/>
                <w:lang w:val="en-GB"/>
              </w:rPr>
              <w:t xml:space="preserve">Tenders being invited for a single lot or for a number of lots on ‘lot-by-lot’ basis, price quoted shall correspond to 100% of the items specified for each lot and to 100% of the quantities specified for each item of that particular lot and shall correspond to 100% of the total offered lot value, unless otherwise stated in the </w:t>
            </w:r>
            <w:r>
              <w:rPr>
                <w:rFonts w:cs="Arial" w:ascii="Arial" w:hAnsi="Arial"/>
                <w:b/>
                <w:sz w:val="22"/>
                <w:szCs w:val="22"/>
                <w:lang w:val="en-GB"/>
              </w:rPr>
              <w:t>TDS.</w:t>
            </w:r>
          </w:p>
          <w:p>
            <w:pPr>
              <w:pStyle w:val="Normal"/>
              <w:widowControl w:val="false"/>
              <w:spacing w:before="80" w:after="40"/>
              <w:ind w:left="585" w:hanging="0"/>
              <w:jc w:val="both"/>
              <w:rPr>
                <w:sz w:val="28"/>
                <w:szCs w:val="28"/>
                <w:highlight w:val="yellow"/>
              </w:rPr>
            </w:pPr>
            <w:r>
              <w:rPr>
                <w:rFonts w:cs="Arial" w:ascii="Arial" w:hAnsi="Arial"/>
                <w:sz w:val="22"/>
                <w:szCs w:val="22"/>
                <w:lang w:val="en-GB"/>
              </w:rPr>
              <w:t>Tenders being invited for a number of lots on “lot-by-lot” basis, the lot not quoting at least eighty (80) percent of the total number of items under that lot and, not representing at least sixty five (65) percent of the equivalent lot value shall be considered non-responsive.</w:t>
            </w:r>
          </w:p>
        </w:tc>
      </w:tr>
      <w:tr>
        <w:trPr>
          <w:trHeight w:val="873" w:hRule="atLeast"/>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Normal"/>
              <w:widowControl w:val="false"/>
              <w:spacing w:before="80" w:after="40"/>
              <w:ind w:left="585" w:hanging="0"/>
              <w:jc w:val="both"/>
              <w:rPr>
                <w:rFonts w:ascii="Arial" w:hAnsi="Arial" w:cs="Arial"/>
                <w:color w:val="FF0000"/>
                <w:sz w:val="22"/>
                <w:szCs w:val="22"/>
                <w:lang w:val="en-GB"/>
              </w:rPr>
            </w:pPr>
            <w:r>
              <w:rPr>
                <w:rFonts w:cs="Arial" w:ascii="Arial" w:hAnsi="Arial"/>
                <w:color w:val="FF0000"/>
                <w:sz w:val="22"/>
                <w:szCs w:val="22"/>
                <w:lang w:val="en-GB"/>
              </w:rPr>
            </w:r>
          </w:p>
        </w:tc>
      </w:tr>
      <w:tr>
        <w:trPr>
          <w:trHeight w:val="873" w:hRule="atLeast"/>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Normal"/>
              <w:widowControl w:val="false"/>
              <w:numPr>
                <w:ilvl w:val="0"/>
                <w:numId w:val="76"/>
              </w:numPr>
              <w:tabs>
                <w:tab w:val="clear" w:pos="720"/>
                <w:tab w:val="left" w:pos="567" w:leader="none"/>
              </w:tabs>
              <w:spacing w:before="80" w:after="40"/>
              <w:ind w:left="585" w:hanging="576"/>
              <w:jc w:val="both"/>
              <w:rPr>
                <w:rFonts w:ascii="Arial" w:hAnsi="Arial" w:cs="Arial"/>
                <w:sz w:val="22"/>
                <w:szCs w:val="22"/>
                <w:lang w:val="en-GB"/>
              </w:rPr>
            </w:pPr>
            <w:r>
              <w:rPr>
                <w:rFonts w:cs="Arial" w:ascii="Arial" w:hAnsi="Arial"/>
                <w:sz w:val="21"/>
                <w:szCs w:val="21"/>
                <w:lang w:val="en-GB"/>
              </w:rPr>
              <w:t>A Lot Tender not offering minimum number of items of those being priced based on percentage of the total number of items as specified in the ITT Sub-Clause 24.6 and the corresponding minimum value based on percentage of the total lot value as specified in the ITT Sub-Clause 24.6  shall also be considered non-responsive</w:t>
            </w:r>
          </w:p>
          <w:p>
            <w:pPr>
              <w:pStyle w:val="Normal"/>
              <w:widowControl w:val="false"/>
              <w:numPr>
                <w:ilvl w:val="0"/>
                <w:numId w:val="76"/>
              </w:numPr>
              <w:tabs>
                <w:tab w:val="clear" w:pos="720"/>
                <w:tab w:val="left" w:pos="567" w:leader="none"/>
              </w:tabs>
              <w:spacing w:before="80" w:after="40"/>
              <w:ind w:left="585" w:hanging="576"/>
              <w:jc w:val="both"/>
              <w:rPr>
                <w:rFonts w:ascii="Arial" w:hAnsi="Arial" w:cs="Arial"/>
                <w:sz w:val="22"/>
                <w:szCs w:val="22"/>
                <w:lang w:val="en-GB"/>
              </w:rPr>
            </w:pPr>
            <w:r>
              <w:rPr>
                <w:rFonts w:cs="Arial" w:ascii="Arial" w:hAnsi="Arial"/>
                <w:sz w:val="21"/>
                <w:szCs w:val="21"/>
                <w:lang w:val="en-GB"/>
              </w:rPr>
              <w:t xml:space="preserve">Subject to ITT Sub-Clause 24.6, a Lot tender not offering a particular item which represents more than fifty percent (50%) of the estimated lot value identified by the Procuring Entity and specified in the </w:t>
            </w:r>
            <w:r>
              <w:rPr>
                <w:rFonts w:cs="Arial" w:ascii="Arial" w:hAnsi="Arial"/>
                <w:b/>
                <w:sz w:val="21"/>
                <w:szCs w:val="21"/>
                <w:lang w:val="en-GB"/>
              </w:rPr>
              <w:t>TDS</w:t>
            </w:r>
            <w:r>
              <w:rPr>
                <w:rFonts w:cs="Arial" w:ascii="Arial" w:hAnsi="Arial"/>
                <w:sz w:val="21"/>
                <w:szCs w:val="21"/>
                <w:lang w:val="en-GB"/>
              </w:rPr>
              <w:t>, even if it complies with the requirement of minimum number of items based on percentage of the total number of items as stated under ITT Sub Clause 24.6, shall be considered non-responsive</w:t>
            </w:r>
            <w:r>
              <w:rPr>
                <w:rFonts w:cs="Arial" w:ascii="Arial" w:hAnsi="Arial"/>
                <w:sz w:val="22"/>
                <w:szCs w:val="22"/>
                <w:lang w:val="en-GB"/>
              </w:rPr>
              <w:t>.</w:t>
            </w:r>
          </w:p>
        </w:tc>
      </w:tr>
      <w:tr>
        <w:trPr>
          <w:trHeight w:val="792" w:hRule="atLeast"/>
        </w:trPr>
        <w:tc>
          <w:tcPr>
            <w:tcW w:w="2222" w:type="dxa"/>
            <w:vMerge w:val="continue"/>
            <w:tcBorders/>
            <w:shd w:color="auto" w:fill="auto" w:val="clear"/>
          </w:tcPr>
          <w:p>
            <w:pPr>
              <w:pStyle w:val="Normal"/>
              <w:widowControl w:val="false"/>
              <w:spacing w:before="80" w:after="4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Normal"/>
              <w:widowControl w:val="false"/>
              <w:numPr>
                <w:ilvl w:val="0"/>
                <w:numId w:val="76"/>
              </w:numPr>
              <w:spacing w:before="80" w:after="40"/>
              <w:ind w:left="585" w:hanging="576"/>
              <w:jc w:val="both"/>
              <w:rPr>
                <w:rFonts w:ascii="Arial" w:hAnsi="Arial" w:cs="Arial"/>
                <w:sz w:val="22"/>
                <w:szCs w:val="22"/>
                <w:lang w:val="en-GB"/>
              </w:rPr>
            </w:pPr>
            <w:r>
              <w:rPr>
                <w:rFonts w:cs="Arial" w:ascii="Arial" w:hAnsi="Arial"/>
                <w:sz w:val="22"/>
                <w:szCs w:val="22"/>
                <w:lang w:val="en-GB"/>
              </w:rPr>
              <w:t xml:space="preserve">The price to be quoted in Tender Submission Letter </w:t>
            </w:r>
            <w:r>
              <w:rPr>
                <w:rFonts w:cs="Arial" w:ascii="Arial" w:hAnsi="Arial"/>
                <w:b/>
                <w:sz w:val="22"/>
                <w:szCs w:val="22"/>
                <w:lang w:val="en-GB"/>
              </w:rPr>
              <w:t>(Form PG3-1)</w:t>
            </w:r>
            <w:r>
              <w:rPr>
                <w:rFonts w:cs="Arial" w:ascii="Arial" w:hAnsi="Arial"/>
                <w:sz w:val="22"/>
                <w:szCs w:val="22"/>
                <w:lang w:val="en-GB"/>
              </w:rPr>
              <w:t xml:space="preserve"> shall be the total price of the Tender, excluding any discounts offered.</w:t>
            </w:r>
          </w:p>
        </w:tc>
      </w:tr>
      <w:tr>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Normal"/>
              <w:widowControl w:val="false"/>
              <w:numPr>
                <w:ilvl w:val="0"/>
                <w:numId w:val="76"/>
              </w:numPr>
              <w:tabs>
                <w:tab w:val="clear" w:pos="720"/>
              </w:tabs>
              <w:spacing w:before="80" w:after="40"/>
              <w:ind w:left="612" w:hanging="576"/>
              <w:jc w:val="both"/>
              <w:rPr>
                <w:rFonts w:ascii="Arial" w:hAnsi="Arial" w:cs="Arial"/>
                <w:sz w:val="22"/>
                <w:szCs w:val="22"/>
                <w:lang w:val="en-GB"/>
              </w:rPr>
            </w:pPr>
            <w:r>
              <w:rPr>
                <w:rFonts w:eastAsia="Times New Roman" w:cs="Arial" w:ascii="Arial" w:hAnsi="Arial"/>
                <w:spacing w:val="-4"/>
                <w:sz w:val="22"/>
                <w:szCs w:val="22"/>
                <w:lang w:val="en-GB" w:eastAsia="en-US"/>
              </w:rPr>
              <w:t xml:space="preserve">Tenderers shall quote any unconditional discounts and the methodology for application of that discount in the Tender Submission Letter as stated under ITT Sub Clause </w:t>
            </w:r>
            <w:r>
              <w:rPr>
                <w:rFonts w:eastAsia="Times New Roman" w:cs="Arial" w:ascii="Arial" w:hAnsi="Arial"/>
                <w:spacing w:val="-4"/>
                <w:sz w:val="22"/>
                <w:szCs w:val="22"/>
                <w:highlight w:val="yellow"/>
                <w:lang w:val="en-GB" w:eastAsia="en-US"/>
              </w:rPr>
              <w:t>24.12</w:t>
            </w:r>
          </w:p>
        </w:tc>
      </w:tr>
      <w:tr>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Normal"/>
              <w:widowControl w:val="false"/>
              <w:numPr>
                <w:ilvl w:val="0"/>
                <w:numId w:val="76"/>
              </w:numPr>
              <w:tabs>
                <w:tab w:val="clear" w:pos="720"/>
              </w:tabs>
              <w:spacing w:before="80" w:after="40"/>
              <w:ind w:left="612" w:hanging="598"/>
              <w:jc w:val="both"/>
              <w:rPr>
                <w:rFonts w:ascii="Arial" w:hAnsi="Arial" w:eastAsia="Times New Roman" w:cs="Arial"/>
                <w:spacing w:val="-4"/>
                <w:sz w:val="22"/>
                <w:szCs w:val="22"/>
                <w:lang w:val="en-GB" w:eastAsia="en-US"/>
              </w:rPr>
            </w:pPr>
            <w:r>
              <w:rPr>
                <w:rFonts w:eastAsia="Times New Roman" w:cs="Arial" w:ascii="Arial" w:hAnsi="Arial"/>
                <w:spacing w:val="-4"/>
                <w:sz w:val="22"/>
                <w:szCs w:val="22"/>
                <w:lang w:val="en-GB" w:eastAsia="en-US"/>
              </w:rPr>
              <w:t xml:space="preserve"> </w:t>
            </w:r>
            <w:r>
              <w:rPr>
                <w:rFonts w:eastAsia="Times New Roman" w:cs="Arial" w:ascii="Arial" w:hAnsi="Arial"/>
                <w:spacing w:val="-4"/>
                <w:sz w:val="22"/>
                <w:szCs w:val="22"/>
                <w:lang w:val="en-GB" w:eastAsia="en-US"/>
              </w:rPr>
              <w:t>Tenderers wishing to offer any unconditional discount for the award of more than one lot shall specify the discount applicable to each lot, or alternatively, to any combination of lots within the package in their Tender. Discounts will be submitted as stated under ITT Sub Clause 24.11, provided the Tenders for all lots are submitted and opened together.</w:t>
            </w:r>
          </w:p>
        </w:tc>
      </w:tr>
      <w:tr>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Normal"/>
              <w:widowControl w:val="false"/>
              <w:numPr>
                <w:ilvl w:val="0"/>
                <w:numId w:val="76"/>
              </w:numPr>
              <w:tabs>
                <w:tab w:val="clear" w:pos="720"/>
              </w:tabs>
              <w:spacing w:before="80" w:after="40"/>
              <w:ind w:left="612" w:hanging="603"/>
              <w:jc w:val="both"/>
              <w:rPr>
                <w:rFonts w:ascii="Arial" w:hAnsi="Arial" w:eastAsia="Times New Roman" w:cs="Arial"/>
                <w:spacing w:val="-4"/>
                <w:sz w:val="22"/>
                <w:szCs w:val="22"/>
                <w:lang w:val="en-GB" w:eastAsia="en-US"/>
              </w:rPr>
            </w:pPr>
            <w:r>
              <w:rPr>
                <w:rFonts w:eastAsia="Times New Roman" w:cs="Arial" w:ascii="Arial" w:hAnsi="Arial"/>
                <w:spacing w:val="-4"/>
                <w:sz w:val="22"/>
                <w:szCs w:val="22"/>
                <w:lang w:val="en-GB" w:eastAsia="en-US"/>
              </w:rPr>
              <w:t xml:space="preserve"> </w:t>
            </w:r>
            <w:r>
              <w:rPr>
                <w:rFonts w:eastAsia="Times New Roman" w:cs="Arial" w:ascii="Arial" w:hAnsi="Arial"/>
                <w:spacing w:val="-4"/>
                <w:sz w:val="22"/>
                <w:szCs w:val="22"/>
                <w:lang w:val="en-GB" w:eastAsia="en-US"/>
              </w:rPr>
              <w:t>All applicable taxes, custom duties, VAT and other levies payable by the Contractor under the Contract, or for any other causes, as of the date twenty-eight (28) days prior to the deadline for submission of Tenders, shall be included in the unit rates and the total Tender price submitted by the Tenderers.</w:t>
            </w:r>
          </w:p>
        </w:tc>
      </w:tr>
      <w:tr>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Normal"/>
              <w:widowControl w:val="false"/>
              <w:numPr>
                <w:ilvl w:val="0"/>
                <w:numId w:val="76"/>
              </w:numPr>
              <w:tabs>
                <w:tab w:val="clear" w:pos="720"/>
              </w:tabs>
              <w:spacing w:before="80" w:after="40"/>
              <w:ind w:left="612" w:hanging="603"/>
              <w:jc w:val="both"/>
              <w:rPr>
                <w:rFonts w:ascii="Arial" w:hAnsi="Arial" w:cs="Arial"/>
                <w:sz w:val="22"/>
                <w:szCs w:val="22"/>
                <w:lang w:val="en-GB"/>
              </w:rPr>
            </w:pPr>
            <w:r>
              <w:rPr>
                <w:rFonts w:eastAsia="Times New Roman" w:cs="Arial" w:ascii="Arial" w:hAnsi="Arial"/>
                <w:sz w:val="22"/>
                <w:szCs w:val="22"/>
                <w:lang w:val="en-GB" w:eastAsia="en-US"/>
              </w:rPr>
              <w:t>The price of a Contract shall be fixed in which case the unit prices may not be modified in response to changes in economic or commercial conditions.</w:t>
            </w:r>
          </w:p>
        </w:tc>
      </w:tr>
      <w:tr>
        <w:trPr>
          <w:trHeight w:val="720" w:hRule="atLeast"/>
        </w:trPr>
        <w:tc>
          <w:tcPr>
            <w:tcW w:w="2222" w:type="dxa"/>
            <w:tcBorders/>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190" w:name="_Toc338337550"/>
            <w:bookmarkStart w:id="191" w:name="_Hlt438531797"/>
            <w:bookmarkStart w:id="192" w:name="_Toc421454216"/>
            <w:bookmarkEnd w:id="191"/>
            <w:r>
              <w:rPr>
                <w:rStyle w:val="Heading3Char"/>
                <w:rFonts w:ascii="Arial" w:hAnsi="Arial"/>
                <w:b/>
                <w:sz w:val="22"/>
                <w:szCs w:val="22"/>
              </w:rPr>
              <w:t>Tender Currency</w:t>
            </w:r>
            <w:bookmarkEnd w:id="190"/>
            <w:bookmarkEnd w:id="192"/>
          </w:p>
        </w:tc>
        <w:tc>
          <w:tcPr>
            <w:tcW w:w="7020" w:type="dxa"/>
            <w:gridSpan w:val="3"/>
            <w:tcBorders/>
          </w:tcPr>
          <w:p>
            <w:pPr>
              <w:pStyle w:val="SubClauseText"/>
              <w:widowControl w:val="false"/>
              <w:numPr>
                <w:ilvl w:val="0"/>
                <w:numId w:val="77"/>
              </w:numPr>
              <w:tabs>
                <w:tab w:val="clear" w:pos="720"/>
                <w:tab w:val="left" w:pos="612" w:leader="none"/>
              </w:tabs>
              <w:spacing w:before="80" w:after="40"/>
              <w:ind w:left="612" w:hanging="612"/>
              <w:rPr>
                <w:rFonts w:ascii="Arial" w:hAnsi="Arial" w:cs="Arial"/>
                <w:sz w:val="22"/>
                <w:szCs w:val="22"/>
                <w:lang w:val="en-GB"/>
              </w:rPr>
            </w:pPr>
            <w:r>
              <w:rPr>
                <w:rFonts w:cs="Arial" w:ascii="Arial" w:hAnsi="Arial"/>
                <w:sz w:val="22"/>
                <w:szCs w:val="22"/>
                <w:lang w:val="en-GB"/>
              </w:rPr>
              <w:t>Tenderers shall quote all prices in the Tender Submission Letter and in the Price schedule in Bangladesh Taka (BDT) currency.</w:t>
            </w:r>
          </w:p>
        </w:tc>
      </w:tr>
      <w:tr>
        <w:trPr>
          <w:trHeight w:val="720" w:hRule="atLeast"/>
        </w:trPr>
        <w:tc>
          <w:tcPr>
            <w:tcW w:w="2222" w:type="dxa"/>
            <w:tcBorders/>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193" w:name="_Toc421454217"/>
            <w:r>
              <w:rPr>
                <w:rStyle w:val="Heading3Char"/>
                <w:rFonts w:ascii="Arial" w:hAnsi="Arial"/>
                <w:b/>
                <w:sz w:val="22"/>
                <w:szCs w:val="22"/>
              </w:rPr>
              <w:t>Documents Establishing the Eligibility of the Tenderer</w:t>
            </w:r>
            <w:bookmarkEnd w:id="193"/>
          </w:p>
        </w:tc>
        <w:tc>
          <w:tcPr>
            <w:tcW w:w="7020" w:type="dxa"/>
            <w:gridSpan w:val="3"/>
            <w:tcBorders/>
          </w:tcPr>
          <w:p>
            <w:pPr>
              <w:pStyle w:val="SubClauseText"/>
              <w:keepLines/>
              <w:widowControl w:val="false"/>
              <w:numPr>
                <w:ilvl w:val="0"/>
                <w:numId w:val="109"/>
              </w:numPr>
              <w:spacing w:before="80" w:after="40"/>
              <w:rPr>
                <w:rFonts w:ascii="Arial" w:hAnsi="Arial" w:cs="Arial"/>
                <w:sz w:val="22"/>
                <w:szCs w:val="22"/>
                <w:lang w:val="en-GB"/>
              </w:rPr>
            </w:pPr>
            <w:r>
              <w:rPr>
                <w:rFonts w:cs="Arial" w:ascii="Arial" w:hAnsi="Arial"/>
                <w:sz w:val="22"/>
                <w:szCs w:val="22"/>
                <w:lang w:val="en-GB"/>
              </w:rPr>
              <w:t>Tenderers, if applying as a sole Tenderer, shall submit documentary evidence to establish its eligibility as stated under ITT Clause 5 and, in particular, it shall:</w:t>
            </w:r>
          </w:p>
          <w:p>
            <w:pPr>
              <w:pStyle w:val="Normal"/>
              <w:keepLines/>
              <w:widowControl w:val="false"/>
              <w:numPr>
                <w:ilvl w:val="0"/>
                <w:numId w:val="110"/>
              </w:numPr>
              <w:tabs>
                <w:tab w:val="clear" w:pos="720"/>
                <w:tab w:val="left" w:pos="1242" w:leader="none"/>
              </w:tabs>
              <w:spacing w:before="80" w:after="40"/>
              <w:ind w:left="1242" w:hanging="608"/>
              <w:jc w:val="both"/>
              <w:rPr>
                <w:rFonts w:ascii="Arial" w:hAnsi="Arial" w:eastAsia="Times New Roman" w:cs="Arial"/>
                <w:spacing w:val="-4"/>
                <w:sz w:val="22"/>
                <w:szCs w:val="22"/>
                <w:lang w:val="en-GB" w:eastAsia="en-US"/>
              </w:rPr>
            </w:pPr>
            <w:r>
              <w:rPr>
                <w:rFonts w:eastAsia="Times New Roman" w:cs="Arial" w:ascii="Arial" w:hAnsi="Arial"/>
                <w:spacing w:val="-4"/>
                <w:sz w:val="22"/>
                <w:szCs w:val="22"/>
                <w:lang w:val="en-GB" w:eastAsia="en-US"/>
              </w:rPr>
              <w:t>complete the eligibility declarations in the Tender Submission Letter (</w:t>
            </w:r>
            <w:r>
              <w:rPr>
                <w:rFonts w:eastAsia="Times New Roman" w:cs="Arial" w:ascii="Arial" w:hAnsi="Arial"/>
                <w:b/>
                <w:spacing w:val="-4"/>
                <w:sz w:val="22"/>
                <w:szCs w:val="22"/>
                <w:lang w:val="en-GB" w:eastAsia="en-US"/>
              </w:rPr>
              <w:t>Form PG3-1</w:t>
            </w:r>
            <w:r>
              <w:rPr>
                <w:rFonts w:eastAsia="Times New Roman" w:cs="Arial" w:ascii="Arial" w:hAnsi="Arial"/>
                <w:spacing w:val="-4"/>
                <w:sz w:val="22"/>
                <w:szCs w:val="22"/>
                <w:lang w:val="en-GB" w:eastAsia="en-US"/>
              </w:rPr>
              <w:t>);</w:t>
            </w:r>
          </w:p>
          <w:p>
            <w:pPr>
              <w:pStyle w:val="Normal"/>
              <w:keepLines/>
              <w:widowControl w:val="false"/>
              <w:numPr>
                <w:ilvl w:val="0"/>
                <w:numId w:val="110"/>
              </w:numPr>
              <w:tabs>
                <w:tab w:val="clear" w:pos="720"/>
                <w:tab w:val="left" w:pos="1242" w:leader="none"/>
              </w:tabs>
              <w:spacing w:before="80" w:after="40"/>
              <w:ind w:left="1242" w:hanging="608"/>
              <w:jc w:val="both"/>
              <w:rPr>
                <w:rFonts w:ascii="Arial" w:hAnsi="Arial" w:eastAsia="Times New Roman" w:cs="Arial"/>
                <w:spacing w:val="-4"/>
                <w:sz w:val="22"/>
                <w:szCs w:val="22"/>
                <w:lang w:val="en-GB" w:eastAsia="en-US"/>
              </w:rPr>
            </w:pPr>
            <w:r>
              <w:rPr>
                <w:rFonts w:eastAsia="Times New Roman" w:cs="Arial" w:ascii="Arial" w:hAnsi="Arial"/>
                <w:spacing w:val="-4"/>
                <w:sz w:val="22"/>
                <w:szCs w:val="22"/>
                <w:lang w:val="en-GB" w:eastAsia="en-US"/>
              </w:rPr>
              <w:t>complete the Tenderer Information (</w:t>
            </w:r>
            <w:r>
              <w:rPr>
                <w:rFonts w:eastAsia="Times New Roman" w:cs="Arial" w:ascii="Arial" w:hAnsi="Arial"/>
                <w:b/>
                <w:spacing w:val="-4"/>
                <w:sz w:val="22"/>
                <w:szCs w:val="22"/>
                <w:lang w:val="en-GB" w:eastAsia="en-US"/>
              </w:rPr>
              <w:t>Form PG3-2</w:t>
            </w:r>
            <w:r>
              <w:rPr>
                <w:rFonts w:eastAsia="Times New Roman" w:cs="Arial" w:ascii="Arial" w:hAnsi="Arial"/>
                <w:spacing w:val="-4"/>
                <w:sz w:val="22"/>
                <w:szCs w:val="22"/>
                <w:lang w:val="en-GB" w:eastAsia="en-US"/>
              </w:rPr>
              <w:t>);</w:t>
            </w:r>
          </w:p>
          <w:p>
            <w:pPr>
              <w:pStyle w:val="Normal"/>
              <w:keepLines/>
              <w:widowControl w:val="false"/>
              <w:numPr>
                <w:ilvl w:val="0"/>
                <w:numId w:val="110"/>
              </w:numPr>
              <w:tabs>
                <w:tab w:val="clear" w:pos="720"/>
                <w:tab w:val="left" w:pos="1242" w:leader="none"/>
              </w:tabs>
              <w:spacing w:before="80" w:after="40"/>
              <w:ind w:left="1242" w:hanging="608"/>
              <w:jc w:val="both"/>
              <w:rPr>
                <w:rFonts w:ascii="Arial" w:hAnsi="Arial" w:cs="Arial"/>
                <w:sz w:val="22"/>
                <w:szCs w:val="22"/>
                <w:lang w:val="en-GB"/>
              </w:rPr>
            </w:pPr>
            <w:r>
              <w:rPr>
                <w:rFonts w:eastAsia="Times New Roman" w:cs="Arial" w:ascii="Arial" w:hAnsi="Arial"/>
                <w:spacing w:val="-4"/>
                <w:sz w:val="22"/>
                <w:szCs w:val="22"/>
                <w:lang w:val="en-GB" w:eastAsia="en-US"/>
              </w:rPr>
              <w:t xml:space="preserve">complete Subcontractor Information </w:t>
            </w:r>
            <w:r>
              <w:rPr>
                <w:rFonts w:eastAsia="Times New Roman" w:cs="Arial" w:ascii="Arial" w:hAnsi="Arial"/>
                <w:spacing w:val="-4"/>
                <w:sz w:val="22"/>
                <w:szCs w:val="22"/>
                <w:highlight w:val="yellow"/>
                <w:lang w:val="en-GB" w:eastAsia="en-US"/>
              </w:rPr>
              <w:t>(</w:t>
            </w:r>
            <w:r>
              <w:rPr>
                <w:rFonts w:eastAsia="Times New Roman" w:cs="Arial" w:ascii="Arial" w:hAnsi="Arial"/>
                <w:b/>
                <w:spacing w:val="-4"/>
                <w:sz w:val="22"/>
                <w:szCs w:val="22"/>
                <w:highlight w:val="yellow"/>
                <w:lang w:val="en-GB" w:eastAsia="en-US"/>
              </w:rPr>
              <w:t>Form PG3-3</w:t>
            </w:r>
            <w:r>
              <w:rPr>
                <w:rFonts w:eastAsia="Times New Roman" w:cs="Arial" w:ascii="Arial" w:hAnsi="Arial"/>
                <w:spacing w:val="-4"/>
                <w:sz w:val="22"/>
                <w:szCs w:val="22"/>
                <w:highlight w:val="yellow"/>
                <w:lang w:val="en-GB" w:eastAsia="en-US"/>
              </w:rPr>
              <w:t>),</w:t>
            </w:r>
            <w:r>
              <w:rPr>
                <w:rFonts w:eastAsia="Times New Roman" w:cs="Arial" w:ascii="Arial" w:hAnsi="Arial"/>
                <w:spacing w:val="-4"/>
                <w:sz w:val="22"/>
                <w:szCs w:val="22"/>
                <w:lang w:val="en-GB" w:eastAsia="en-US"/>
              </w:rPr>
              <w:t xml:space="preserve"> if it intends to engage any Subcontractor(s).</w:t>
            </w:r>
          </w:p>
        </w:tc>
      </w:tr>
      <w:tr>
        <w:trPr>
          <w:trHeight w:val="1260" w:hRule="atLeast"/>
        </w:trPr>
        <w:tc>
          <w:tcPr>
            <w:tcW w:w="2222" w:type="dxa"/>
            <w:vMerge w:val="restart"/>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194" w:name="_Toc49504648"/>
            <w:bookmarkStart w:id="195" w:name="_Toc438733983"/>
            <w:bookmarkStart w:id="196" w:name="_Toc438438839"/>
            <w:bookmarkStart w:id="197" w:name="_Toc438532600"/>
            <w:bookmarkStart w:id="198" w:name="_Toc438907022"/>
            <w:bookmarkStart w:id="199" w:name="_Toc438907221"/>
            <w:bookmarkStart w:id="200" w:name="_Toc37047291"/>
            <w:bookmarkStart w:id="201" w:name="_Toc37234062"/>
            <w:bookmarkStart w:id="202" w:name="_Toc49504214"/>
            <w:bookmarkStart w:id="203" w:name="_Toc421454218"/>
            <w:bookmarkStart w:id="204" w:name="_Toc49591346"/>
            <w:bookmarkStart w:id="205" w:name="_Toc49504767"/>
            <w:bookmarkStart w:id="206" w:name="_Toc49591694"/>
            <w:bookmarkStart w:id="207" w:name="_Toc49569784"/>
            <w:r>
              <w:rPr>
                <w:rStyle w:val="Heading3Char"/>
                <w:rFonts w:ascii="Arial" w:hAnsi="Arial"/>
                <w:b/>
                <w:sz w:val="22"/>
                <w:szCs w:val="22"/>
              </w:rPr>
              <w:t xml:space="preserve">Documents Establishing </w:t>
            </w:r>
            <w:bookmarkEnd w:id="194"/>
            <w:bookmarkEnd w:id="195"/>
            <w:bookmarkEnd w:id="196"/>
            <w:bookmarkEnd w:id="197"/>
            <w:bookmarkEnd w:id="198"/>
            <w:bookmarkEnd w:id="199"/>
            <w:bookmarkEnd w:id="200"/>
            <w:bookmarkEnd w:id="201"/>
            <w:bookmarkEnd w:id="202"/>
            <w:bookmarkEnd w:id="204"/>
            <w:bookmarkEnd w:id="205"/>
            <w:bookmarkEnd w:id="206"/>
            <w:bookmarkEnd w:id="207"/>
            <w:r>
              <w:rPr>
                <w:rStyle w:val="Heading3Char"/>
                <w:rFonts w:ascii="Arial" w:hAnsi="Arial"/>
                <w:b/>
                <w:sz w:val="22"/>
                <w:szCs w:val="22"/>
              </w:rPr>
              <w:t>the Eligibility and Conformity of the Goods and Related services</w:t>
            </w:r>
            <w:bookmarkEnd w:id="203"/>
          </w:p>
          <w:p>
            <w:pPr>
              <w:pStyle w:val="Normal"/>
              <w:widowControl w:val="false"/>
              <w:spacing w:before="80" w:after="80"/>
              <w:rPr>
                <w:rStyle w:val="Heading3Char"/>
                <w:rFonts w:ascii="Arial" w:hAnsi="Arial"/>
                <w:b/>
                <w:b/>
                <w:sz w:val="22"/>
                <w:szCs w:val="22"/>
              </w:rPr>
            </w:pPr>
            <w:r>
              <w:rPr>
                <w:rFonts w:ascii="Arial" w:hAnsi="Arial"/>
                <w:b/>
                <w:sz w:val="22"/>
                <w:szCs w:val="22"/>
              </w:rPr>
            </w:r>
          </w:p>
          <w:p>
            <w:pPr>
              <w:pStyle w:val="Normal"/>
              <w:widowControl w:val="false"/>
              <w:spacing w:before="80" w:after="80"/>
              <w:rPr>
                <w:rStyle w:val="Heading3Char"/>
                <w:rFonts w:ascii="Arial" w:hAnsi="Arial"/>
                <w:b/>
                <w:b/>
                <w:sz w:val="22"/>
                <w:szCs w:val="22"/>
              </w:rPr>
            </w:pPr>
            <w:r>
              <w:rPr>
                <w:rFonts w:ascii="Arial" w:hAnsi="Arial"/>
                <w:b/>
                <w:sz w:val="22"/>
                <w:szCs w:val="22"/>
              </w:rPr>
            </w:r>
          </w:p>
          <w:p>
            <w:pPr>
              <w:pStyle w:val="Normal"/>
              <w:widowControl w:val="false"/>
              <w:spacing w:before="80" w:after="80"/>
              <w:rPr>
                <w:rStyle w:val="Heading3Char"/>
                <w:rFonts w:ascii="Arial" w:hAnsi="Arial"/>
                <w:b/>
                <w:b/>
                <w:sz w:val="22"/>
                <w:szCs w:val="22"/>
              </w:rPr>
            </w:pPr>
            <w:r>
              <w:rPr>
                <w:rFonts w:ascii="Arial" w:hAnsi="Arial"/>
                <w:b/>
                <w:sz w:val="22"/>
                <w:szCs w:val="22"/>
              </w:rPr>
            </w:r>
          </w:p>
          <w:p>
            <w:pPr>
              <w:pStyle w:val="Normal"/>
              <w:widowControl w:val="false"/>
              <w:spacing w:before="80" w:after="80"/>
              <w:rPr>
                <w:rStyle w:val="Heading3Char"/>
                <w:rFonts w:ascii="Arial" w:hAnsi="Arial"/>
                <w:b/>
                <w:b/>
                <w:sz w:val="22"/>
                <w:szCs w:val="22"/>
              </w:rPr>
            </w:pPr>
            <w:r>
              <w:rPr>
                <w:rFonts w:ascii="Arial" w:hAnsi="Arial"/>
                <w:b/>
                <w:sz w:val="22"/>
                <w:szCs w:val="22"/>
              </w:rPr>
            </w:r>
          </w:p>
          <w:p>
            <w:pPr>
              <w:pStyle w:val="Normal"/>
              <w:widowControl w:val="false"/>
              <w:spacing w:before="80" w:after="80"/>
              <w:rPr>
                <w:rStyle w:val="Heading3Char"/>
                <w:rFonts w:ascii="Arial" w:hAnsi="Arial"/>
                <w:b/>
                <w:b/>
                <w:sz w:val="22"/>
                <w:szCs w:val="22"/>
              </w:rPr>
            </w:pPr>
            <w:r>
              <w:rPr>
                <w:rFonts w:ascii="Arial" w:hAnsi="Arial"/>
                <w:b/>
                <w:sz w:val="22"/>
                <w:szCs w:val="22"/>
              </w:rPr>
            </w:r>
          </w:p>
          <w:p>
            <w:pPr>
              <w:pStyle w:val="Normal"/>
              <w:widowControl w:val="false"/>
              <w:spacing w:before="80" w:after="80"/>
              <w:rPr>
                <w:rStyle w:val="Heading3Char"/>
                <w:rFonts w:ascii="Arial" w:hAnsi="Arial"/>
                <w:b/>
                <w:b/>
                <w:sz w:val="22"/>
                <w:szCs w:val="22"/>
              </w:rPr>
            </w:pPr>
            <w:r>
              <w:rPr>
                <w:rFonts w:ascii="Arial" w:hAnsi="Arial"/>
                <w:b/>
                <w:sz w:val="22"/>
                <w:szCs w:val="22"/>
              </w:rPr>
            </w:r>
          </w:p>
          <w:p>
            <w:pPr>
              <w:pStyle w:val="Normal"/>
              <w:widowControl w:val="false"/>
              <w:spacing w:before="80" w:after="80"/>
              <w:rPr>
                <w:rStyle w:val="Heading3Char"/>
                <w:rFonts w:ascii="Arial" w:hAnsi="Arial"/>
                <w:b/>
                <w:b/>
                <w:sz w:val="22"/>
                <w:szCs w:val="22"/>
              </w:rPr>
            </w:pPr>
            <w:r>
              <w:rPr>
                <w:rFonts w:ascii="Arial" w:hAnsi="Arial"/>
                <w:b/>
                <w:sz w:val="22"/>
                <w:szCs w:val="22"/>
              </w:rPr>
            </w:r>
          </w:p>
          <w:p>
            <w:pPr>
              <w:pStyle w:val="Normal"/>
              <w:widowControl w:val="false"/>
              <w:spacing w:before="80" w:after="80"/>
              <w:rPr>
                <w:rStyle w:val="Heading3Char"/>
                <w:rFonts w:ascii="Arial" w:hAnsi="Arial"/>
                <w:b/>
                <w:b/>
                <w:sz w:val="22"/>
                <w:szCs w:val="22"/>
              </w:rPr>
            </w:pPr>
            <w:r>
              <w:rPr>
                <w:rFonts w:ascii="Arial" w:hAnsi="Arial"/>
                <w:b/>
                <w:sz w:val="22"/>
                <w:szCs w:val="22"/>
              </w:rPr>
            </w:r>
          </w:p>
        </w:tc>
        <w:tc>
          <w:tcPr>
            <w:tcW w:w="7020" w:type="dxa"/>
            <w:gridSpan w:val="3"/>
            <w:tcBorders/>
          </w:tcPr>
          <w:p>
            <w:pPr>
              <w:pStyle w:val="SubClauseText"/>
              <w:widowControl w:val="false"/>
              <w:spacing w:lineRule="atLeast" w:line="240" w:before="80" w:after="80"/>
              <w:ind w:left="612" w:hanging="612"/>
              <w:rPr>
                <w:lang w:val="en-GB"/>
              </w:rPr>
            </w:pPr>
            <w:r>
              <w:rPr>
                <w:rFonts w:cs="Arial" w:ascii="Arial" w:hAnsi="Arial"/>
                <w:sz w:val="22"/>
                <w:szCs w:val="22"/>
                <w:lang w:val="en-GB"/>
              </w:rPr>
              <w:t>27.1 Tenderers shall complete the country of origin declarations in the Price Schedule Formsand, submit documentary evidence to establish the origin of all Goods and related services to be supplied under the Contract as stated under ITT Clause 6.</w:t>
            </w:r>
          </w:p>
        </w:tc>
      </w:tr>
      <w:tr>
        <w:trPr>
          <w:trHeight w:val="1413" w:hRule="atLeast"/>
        </w:trPr>
        <w:tc>
          <w:tcPr>
            <w:tcW w:w="2222" w:type="dxa"/>
            <w:vMerge w:val="continue"/>
            <w:tcBorders/>
            <w:shd w:color="auto" w:fill="auto" w:val="clear"/>
          </w:tcPr>
          <w:p>
            <w:pPr>
              <w:pStyle w:val="Normal"/>
              <w:widowControl w:val="false"/>
              <w:spacing w:before="80" w:after="80"/>
              <w:rPr>
                <w:rStyle w:val="Heading3Char"/>
                <w:rFonts w:ascii="Arial" w:hAnsi="Arial"/>
                <w:b/>
                <w:b/>
                <w:sz w:val="22"/>
                <w:szCs w:val="22"/>
              </w:rPr>
            </w:pPr>
            <w:r>
              <w:rPr>
                <w:rFonts w:ascii="Arial" w:hAnsi="Arial"/>
                <w:b/>
                <w:sz w:val="22"/>
                <w:szCs w:val="22"/>
              </w:rPr>
            </w:r>
          </w:p>
        </w:tc>
        <w:tc>
          <w:tcPr>
            <w:tcW w:w="7020" w:type="dxa"/>
            <w:gridSpan w:val="3"/>
            <w:tcBorders/>
          </w:tcPr>
          <w:p>
            <w:pPr>
              <w:pStyle w:val="SubClauseText"/>
              <w:widowControl w:val="false"/>
              <w:numPr>
                <w:ilvl w:val="0"/>
                <w:numId w:val="78"/>
              </w:numPr>
              <w:tabs>
                <w:tab w:val="clear" w:pos="720"/>
                <w:tab w:val="left" w:pos="612" w:leader="none"/>
              </w:tabs>
              <w:spacing w:before="80" w:after="80"/>
              <w:ind w:left="612" w:hanging="648"/>
              <w:rPr>
                <w:rFonts w:ascii="Arial" w:hAnsi="Arial" w:cs="Arial"/>
                <w:sz w:val="22"/>
                <w:szCs w:val="22"/>
                <w:lang w:val="en-GB"/>
              </w:rPr>
            </w:pPr>
            <w:r>
              <w:rPr>
                <w:rFonts w:cs="Arial" w:ascii="Arial" w:hAnsi="Arial"/>
                <w:sz w:val="22"/>
                <w:szCs w:val="22"/>
                <w:lang w:val="en-GB"/>
              </w:rPr>
              <w:t xml:space="preserve">To establish the conformity of the Goods and related services to the Tender Documents, the Tenderer shall furnish as part of its Tender the documentary evidence that the Goods and related services conform to the technical specifications and standards in </w:t>
            </w:r>
            <w:r>
              <w:rPr>
                <w:rFonts w:cs="Arial" w:ascii="Arial" w:hAnsi="Arial"/>
                <w:b/>
                <w:sz w:val="22"/>
                <w:szCs w:val="22"/>
                <w:lang w:val="en-GB"/>
              </w:rPr>
              <w:t>Section 7, Technical Specifications.</w:t>
            </w:r>
          </w:p>
        </w:tc>
      </w:tr>
      <w:tr>
        <w:trPr>
          <w:trHeight w:val="2340" w:hRule="atLeast"/>
        </w:trPr>
        <w:tc>
          <w:tcPr>
            <w:tcW w:w="2222" w:type="dxa"/>
            <w:vMerge w:val="continue"/>
            <w:tcBorders/>
            <w:shd w:color="auto" w:fill="auto" w:val="clear"/>
          </w:tcPr>
          <w:p>
            <w:pPr>
              <w:pStyle w:val="Heading4"/>
              <w:widowControl w:val="false"/>
              <w:numPr>
                <w:ilvl w:val="0"/>
                <w:numId w:val="25"/>
              </w:numPr>
              <w:spacing w:before="80" w:after="8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78"/>
              </w:numPr>
              <w:spacing w:before="80" w:after="80"/>
              <w:ind w:left="590" w:hanging="576"/>
              <w:rPr>
                <w:rFonts w:ascii="Arial" w:hAnsi="Arial" w:cs="Arial"/>
                <w:sz w:val="22"/>
                <w:szCs w:val="22"/>
                <w:lang w:val="en-GB"/>
              </w:rPr>
            </w:pPr>
            <w:r>
              <w:rPr>
                <w:rFonts w:cs="Arial" w:ascii="Arial" w:hAnsi="Arial"/>
                <w:sz w:val="22"/>
                <w:szCs w:val="22"/>
                <w:lang w:val="en-GB"/>
              </w:rPr>
              <w:t>Documentary evidence of conformity of the Goods and related services to the Tender Documents may be in the form of literature, drawings, and data, and shall consist of:</w:t>
            </w:r>
          </w:p>
          <w:p>
            <w:pPr>
              <w:pStyle w:val="SubClauseText"/>
              <w:widowControl w:val="false"/>
              <w:numPr>
                <w:ilvl w:val="1"/>
                <w:numId w:val="15"/>
              </w:numPr>
              <w:tabs>
                <w:tab w:val="clear" w:pos="720"/>
                <w:tab w:val="left" w:pos="1062" w:leader="none"/>
              </w:tabs>
              <w:spacing w:before="80" w:after="80"/>
              <w:ind w:left="1062" w:hanging="515"/>
              <w:rPr>
                <w:rFonts w:ascii="Arial" w:hAnsi="Arial" w:cs="Arial"/>
                <w:sz w:val="22"/>
                <w:szCs w:val="22"/>
                <w:lang w:val="en-GB"/>
              </w:rPr>
            </w:pPr>
            <w:r>
              <w:rPr>
                <w:rFonts w:cs="Arial" w:ascii="Arial" w:hAnsi="Arial"/>
                <w:sz w:val="22"/>
                <w:szCs w:val="22"/>
                <w:lang w:val="en-GB"/>
              </w:rPr>
              <w:t>a detailed description of the essential technical and performance characteristics of the Goods;</w:t>
            </w:r>
          </w:p>
          <w:p>
            <w:pPr>
              <w:pStyle w:val="SubClauseText"/>
              <w:widowControl w:val="false"/>
              <w:numPr>
                <w:ilvl w:val="1"/>
                <w:numId w:val="15"/>
              </w:numPr>
              <w:tabs>
                <w:tab w:val="clear" w:pos="720"/>
                <w:tab w:val="left" w:pos="1062" w:leader="none"/>
              </w:tabs>
              <w:spacing w:before="80" w:after="80"/>
              <w:ind w:left="1062" w:hanging="515"/>
              <w:rPr>
                <w:lang w:val="en-GB"/>
              </w:rPr>
            </w:pPr>
            <w:bookmarkStart w:id="208" w:name="_Toc100978577"/>
            <w:bookmarkStart w:id="209" w:name="_Toc99261518"/>
            <w:bookmarkStart w:id="210" w:name="_Toc99766129"/>
            <w:bookmarkStart w:id="211" w:name="_Toc99862496"/>
            <w:bookmarkStart w:id="212" w:name="_Toc99938704"/>
            <w:bookmarkStart w:id="213" w:name="_Toc99942582"/>
            <w:bookmarkStart w:id="214" w:name="_Toc100978192"/>
            <w:bookmarkStart w:id="215" w:name="_Toc100755288"/>
            <w:bookmarkStart w:id="216" w:name="_Toc100906912"/>
            <w:r>
              <w:rPr>
                <w:rFonts w:cs="Arial" w:ascii="Arial" w:hAnsi="Arial"/>
                <w:sz w:val="22"/>
                <w:szCs w:val="22"/>
                <w:lang w:val="en-GB"/>
              </w:rPr>
              <w:t>an “item-by-item” commentary on the Procuring Entity’s Technical Specifications demonstrating substantial responsiveness of the Goods and related services to those specifications</w:t>
            </w:r>
            <w:bookmarkEnd w:id="208"/>
            <w:bookmarkEnd w:id="209"/>
            <w:bookmarkEnd w:id="210"/>
            <w:bookmarkEnd w:id="211"/>
            <w:bookmarkEnd w:id="212"/>
            <w:bookmarkEnd w:id="213"/>
            <w:bookmarkEnd w:id="214"/>
            <w:bookmarkEnd w:id="215"/>
            <w:bookmarkEnd w:id="216"/>
            <w:r>
              <w:rPr>
                <w:rFonts w:cs="Arial" w:ascii="Arial" w:hAnsi="Arial"/>
                <w:sz w:val="22"/>
                <w:szCs w:val="22"/>
                <w:lang w:val="en-GB"/>
              </w:rPr>
              <w:t>.</w:t>
            </w:r>
          </w:p>
        </w:tc>
      </w:tr>
      <w:tr>
        <w:trPr>
          <w:trHeight w:val="972" w:hRule="atLeast"/>
        </w:trPr>
        <w:tc>
          <w:tcPr>
            <w:tcW w:w="2222" w:type="dxa"/>
            <w:vMerge w:val="restart"/>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217" w:name="_Toc49504768"/>
            <w:bookmarkStart w:id="218" w:name="_Toc49569785"/>
            <w:bookmarkStart w:id="219" w:name="_Toc438438840"/>
            <w:bookmarkStart w:id="220" w:name="_Toc438532603"/>
            <w:bookmarkStart w:id="221" w:name="_Toc438733984"/>
            <w:bookmarkStart w:id="222" w:name="_Toc438907023"/>
            <w:bookmarkStart w:id="223" w:name="_Toc438907222"/>
            <w:bookmarkStart w:id="224" w:name="_Toc49591347"/>
            <w:bookmarkStart w:id="225" w:name="_Toc49591695"/>
            <w:bookmarkStart w:id="226" w:name="_Toc49504215"/>
            <w:bookmarkStart w:id="227" w:name="_Toc421454219"/>
            <w:bookmarkStart w:id="228" w:name="_Toc37234063"/>
            <w:bookmarkStart w:id="229" w:name="_Toc37047292"/>
            <w:bookmarkStart w:id="230" w:name="_Toc49504649"/>
            <w:r>
              <w:rPr>
                <w:rStyle w:val="Heading3Char"/>
                <w:rFonts w:ascii="Arial" w:hAnsi="Arial"/>
                <w:b/>
                <w:sz w:val="22"/>
                <w:szCs w:val="22"/>
              </w:rPr>
              <w:t>Documents Establishing</w:t>
            </w:r>
            <w:bookmarkEnd w:id="217"/>
            <w:bookmarkEnd w:id="218"/>
            <w:bookmarkEnd w:id="219"/>
            <w:bookmarkEnd w:id="220"/>
            <w:bookmarkEnd w:id="221"/>
            <w:bookmarkEnd w:id="222"/>
            <w:bookmarkEnd w:id="223"/>
            <w:bookmarkEnd w:id="224"/>
            <w:bookmarkEnd w:id="225"/>
            <w:bookmarkEnd w:id="226"/>
            <w:bookmarkEnd w:id="228"/>
            <w:bookmarkEnd w:id="229"/>
            <w:bookmarkEnd w:id="230"/>
            <w:r>
              <w:rPr>
                <w:rStyle w:val="Heading3Char"/>
                <w:rFonts w:ascii="Arial" w:hAnsi="Arial"/>
                <w:b/>
                <w:sz w:val="22"/>
                <w:szCs w:val="22"/>
              </w:rPr>
              <w:t xml:space="preserve"> the Tenderer’s Qualifications</w:t>
            </w:r>
            <w:bookmarkEnd w:id="227"/>
          </w:p>
        </w:tc>
        <w:tc>
          <w:tcPr>
            <w:tcW w:w="7020" w:type="dxa"/>
            <w:gridSpan w:val="3"/>
            <w:tcBorders/>
          </w:tcPr>
          <w:p>
            <w:pPr>
              <w:pStyle w:val="SubClauseText"/>
              <w:widowControl w:val="false"/>
              <w:numPr>
                <w:ilvl w:val="0"/>
                <w:numId w:val="139"/>
              </w:numPr>
              <w:tabs>
                <w:tab w:val="clear" w:pos="720"/>
                <w:tab w:val="left" w:pos="612" w:leader="none"/>
              </w:tabs>
              <w:spacing w:before="80" w:after="80"/>
              <w:ind w:left="612" w:hanging="612"/>
              <w:rPr>
                <w:rFonts w:ascii="Arial" w:hAnsi="Arial" w:cs="Arial"/>
                <w:sz w:val="22"/>
                <w:szCs w:val="22"/>
                <w:lang w:val="en-GB"/>
              </w:rPr>
            </w:pPr>
            <w:r>
              <w:rPr>
                <w:rFonts w:cs="Arial" w:ascii="Arial" w:hAnsi="Arial"/>
                <w:sz w:val="22"/>
                <w:szCs w:val="22"/>
                <w:lang w:val="en-GB"/>
              </w:rPr>
              <w:t>Tenderers shall complete and submit the Tenderer Information (</w:t>
            </w:r>
            <w:r>
              <w:rPr>
                <w:rFonts w:cs="Arial" w:ascii="Arial" w:hAnsi="Arial"/>
                <w:b/>
                <w:sz w:val="22"/>
                <w:szCs w:val="22"/>
                <w:lang w:val="en-GB"/>
              </w:rPr>
              <w:t>Form PG3-2</w:t>
            </w:r>
            <w:r>
              <w:rPr>
                <w:rFonts w:cs="Arial" w:ascii="Arial" w:hAnsi="Arial"/>
                <w:sz w:val="22"/>
                <w:szCs w:val="22"/>
                <w:lang w:val="en-GB"/>
              </w:rPr>
              <w:t>)  and shall include documentary evidence, as applicable to satisfy the following:</w:t>
            </w:r>
          </w:p>
        </w:tc>
      </w:tr>
      <w:tr>
        <w:trPr/>
        <w:tc>
          <w:tcPr>
            <w:tcW w:w="2222" w:type="dxa"/>
            <w:vMerge w:val="continue"/>
            <w:tcBorders/>
            <w:shd w:color="auto" w:fill="auto" w:val="clear"/>
          </w:tcPr>
          <w:p>
            <w:pPr>
              <w:pStyle w:val="Normal"/>
              <w:widowControl w:val="false"/>
              <w:numPr>
                <w:ilvl w:val="0"/>
                <w:numId w:val="0"/>
              </w:numPr>
              <w:spacing w:before="80" w:after="80"/>
              <w:ind w:left="0" w:hanging="0"/>
              <w:outlineLvl w:val="2"/>
              <w:rPr>
                <w:rStyle w:val="Heading3Char"/>
                <w:rFonts w:ascii="Arial" w:hAnsi="Arial"/>
                <w:b/>
                <w:b/>
                <w:sz w:val="22"/>
                <w:szCs w:val="22"/>
              </w:rPr>
            </w:pPr>
            <w:r>
              <w:rPr>
                <w:rFonts w:ascii="Arial" w:hAnsi="Arial"/>
                <w:b/>
                <w:sz w:val="22"/>
                <w:szCs w:val="22"/>
              </w:rPr>
            </w:r>
          </w:p>
        </w:tc>
        <w:tc>
          <w:tcPr>
            <w:tcW w:w="7020" w:type="dxa"/>
            <w:gridSpan w:val="3"/>
            <w:tcBorders/>
          </w:tcPr>
          <w:p>
            <w:pPr>
              <w:pStyle w:val="SubClauseText"/>
              <w:widowControl w:val="false"/>
              <w:numPr>
                <w:ilvl w:val="0"/>
                <w:numId w:val="149"/>
              </w:numPr>
              <w:tabs>
                <w:tab w:val="clear" w:pos="720"/>
                <w:tab w:val="left" w:pos="1062" w:leader="none"/>
              </w:tabs>
              <w:spacing w:before="80" w:after="80"/>
              <w:ind w:left="1062" w:hanging="450"/>
              <w:rPr>
                <w:rFonts w:ascii="Arial" w:hAnsi="Arial" w:cs="Arial"/>
                <w:bCs/>
                <w:sz w:val="22"/>
                <w:szCs w:val="22"/>
                <w:lang w:val="en-GB"/>
              </w:rPr>
            </w:pPr>
            <w:r>
              <w:rPr>
                <w:rFonts w:cs="Arial" w:ascii="Arial" w:hAnsi="Arial"/>
                <w:sz w:val="22"/>
                <w:szCs w:val="22"/>
                <w:lang w:val="en-GB"/>
              </w:rPr>
              <w:t>general experience in the supply of Goods and related services as stated under ITT Sub Clause 14.1(a), substantiated by the year of Tenderer’s registration/constitution/licensing in its country of origin;</w:t>
            </w:r>
          </w:p>
        </w:tc>
      </w:tr>
      <w:tr>
        <w:trPr/>
        <w:tc>
          <w:tcPr>
            <w:tcW w:w="2222" w:type="dxa"/>
            <w:vMerge w:val="continue"/>
            <w:tcBorders/>
            <w:shd w:color="auto" w:fill="auto" w:val="clear"/>
          </w:tcPr>
          <w:p>
            <w:pPr>
              <w:pStyle w:val="Normal"/>
              <w:widowControl w:val="false"/>
              <w:numPr>
                <w:ilvl w:val="0"/>
                <w:numId w:val="0"/>
              </w:numPr>
              <w:spacing w:before="80" w:after="80"/>
              <w:ind w:left="0" w:hanging="0"/>
              <w:outlineLvl w:val="2"/>
              <w:rPr>
                <w:rStyle w:val="Heading3Char"/>
                <w:rFonts w:ascii="Arial" w:hAnsi="Arial"/>
                <w:b/>
                <w:b/>
                <w:sz w:val="22"/>
                <w:szCs w:val="22"/>
              </w:rPr>
            </w:pPr>
            <w:r>
              <w:rPr>
                <w:rFonts w:ascii="Arial" w:hAnsi="Arial"/>
                <w:b/>
                <w:sz w:val="22"/>
                <w:szCs w:val="22"/>
              </w:rPr>
            </w:r>
          </w:p>
        </w:tc>
        <w:tc>
          <w:tcPr>
            <w:tcW w:w="7020" w:type="dxa"/>
            <w:gridSpan w:val="3"/>
            <w:tcBorders/>
          </w:tcPr>
          <w:p>
            <w:pPr>
              <w:pStyle w:val="SubClauseText"/>
              <w:widowControl w:val="false"/>
              <w:numPr>
                <w:ilvl w:val="0"/>
                <w:numId w:val="149"/>
              </w:numPr>
              <w:tabs>
                <w:tab w:val="clear" w:pos="720"/>
                <w:tab w:val="left" w:pos="1062" w:leader="none"/>
              </w:tabs>
              <w:spacing w:before="80" w:after="80"/>
              <w:ind w:left="1062" w:hanging="450"/>
              <w:rPr>
                <w:rFonts w:ascii="Arial" w:hAnsi="Arial" w:cs="Arial"/>
                <w:bCs/>
                <w:sz w:val="22"/>
                <w:szCs w:val="22"/>
                <w:lang w:val="en-GB"/>
              </w:rPr>
            </w:pPr>
            <w:r>
              <w:rPr>
                <w:rFonts w:cs="Arial" w:ascii="Arial" w:hAnsi="Arial"/>
                <w:sz w:val="22"/>
                <w:szCs w:val="22"/>
                <w:lang w:val="en-GB"/>
              </w:rPr>
              <w:t xml:space="preserve">specific experience </w:t>
            </w:r>
            <w:r>
              <w:rPr>
                <w:rFonts w:cs="Arial" w:ascii="Arial" w:hAnsi="Arial"/>
                <w:color w:val="000000"/>
                <w:sz w:val="22"/>
                <w:szCs w:val="22"/>
                <w:lang w:val="en-GB"/>
              </w:rPr>
              <w:t>of satisfactory completion of supply of Goods and related services under public or private sector</w:t>
            </w:r>
            <w:r>
              <w:rPr>
                <w:rFonts w:cs="Arial" w:ascii="Arial" w:hAnsi="Arial"/>
                <w:sz w:val="22"/>
                <w:szCs w:val="22"/>
                <w:lang w:val="en-GB"/>
              </w:rPr>
              <w:t>of similar nature and size as stated under  ITT Sub Clause 14.1(b), substantiated by Completion Certificate (s) issued ,or duly certified, by the relevant Procuring Entity(s);</w:t>
            </w:r>
          </w:p>
        </w:tc>
      </w:tr>
      <w:tr>
        <w:trPr/>
        <w:tc>
          <w:tcPr>
            <w:tcW w:w="2222" w:type="dxa"/>
            <w:vMerge w:val="continue"/>
            <w:tcBorders/>
            <w:shd w:color="auto" w:fill="auto" w:val="clear"/>
          </w:tcPr>
          <w:p>
            <w:pPr>
              <w:pStyle w:val="Normal"/>
              <w:widowControl w:val="false"/>
              <w:numPr>
                <w:ilvl w:val="0"/>
                <w:numId w:val="0"/>
              </w:numPr>
              <w:spacing w:before="80" w:after="80"/>
              <w:ind w:left="0" w:hanging="0"/>
              <w:outlineLvl w:val="2"/>
              <w:rPr>
                <w:rStyle w:val="Heading3Char"/>
                <w:rFonts w:ascii="Arial" w:hAnsi="Arial"/>
                <w:b/>
                <w:b/>
                <w:sz w:val="22"/>
                <w:szCs w:val="22"/>
              </w:rPr>
            </w:pPr>
            <w:r>
              <w:rPr>
                <w:rFonts w:ascii="Arial" w:hAnsi="Arial"/>
                <w:b/>
                <w:sz w:val="22"/>
                <w:szCs w:val="22"/>
              </w:rPr>
            </w:r>
          </w:p>
        </w:tc>
        <w:tc>
          <w:tcPr>
            <w:tcW w:w="7020" w:type="dxa"/>
            <w:gridSpan w:val="3"/>
            <w:tcBorders/>
          </w:tcPr>
          <w:p>
            <w:pPr>
              <w:pStyle w:val="SubClauseText"/>
              <w:widowControl w:val="false"/>
              <w:numPr>
                <w:ilvl w:val="0"/>
                <w:numId w:val="149"/>
              </w:numPr>
              <w:tabs>
                <w:tab w:val="clear" w:pos="720"/>
                <w:tab w:val="left" w:pos="1062" w:leader="none"/>
              </w:tabs>
              <w:spacing w:before="80" w:after="80"/>
              <w:ind w:left="1062" w:hanging="450"/>
              <w:rPr>
                <w:rFonts w:ascii="Arial" w:hAnsi="Arial" w:cs="Arial"/>
                <w:bCs/>
                <w:sz w:val="22"/>
                <w:szCs w:val="22"/>
                <w:lang w:val="en-GB"/>
              </w:rPr>
            </w:pPr>
            <w:r>
              <w:rPr>
                <w:rFonts w:cs="Arial" w:ascii="Arial" w:hAnsi="Arial"/>
                <w:sz w:val="22"/>
                <w:szCs w:val="22"/>
                <w:lang w:val="en-GB"/>
              </w:rPr>
              <w:t>a minimum supply and/or production capacity of Goods and related services as stated under ITT Sub Clause 14.1(c), substantiated by the relevant documents or updated brochures of the supplier and/or manufacturer;</w:t>
            </w:r>
          </w:p>
        </w:tc>
      </w:tr>
      <w:tr>
        <w:trPr/>
        <w:tc>
          <w:tcPr>
            <w:tcW w:w="2222" w:type="dxa"/>
            <w:vMerge w:val="continue"/>
            <w:tcBorders/>
            <w:shd w:color="auto" w:fill="auto" w:val="clear"/>
          </w:tcPr>
          <w:p>
            <w:pPr>
              <w:pStyle w:val="Normal"/>
              <w:widowControl w:val="false"/>
              <w:numPr>
                <w:ilvl w:val="0"/>
                <w:numId w:val="0"/>
              </w:numPr>
              <w:spacing w:before="80" w:after="80"/>
              <w:ind w:left="0" w:hanging="0"/>
              <w:outlineLvl w:val="2"/>
              <w:rPr>
                <w:rStyle w:val="Heading3Char"/>
                <w:rFonts w:ascii="Arial" w:hAnsi="Arial"/>
                <w:b/>
                <w:b/>
                <w:sz w:val="22"/>
                <w:szCs w:val="22"/>
              </w:rPr>
            </w:pPr>
            <w:r>
              <w:rPr>
                <w:rFonts w:ascii="Arial" w:hAnsi="Arial"/>
                <w:b/>
                <w:sz w:val="22"/>
                <w:szCs w:val="22"/>
              </w:rPr>
            </w:r>
          </w:p>
        </w:tc>
        <w:tc>
          <w:tcPr>
            <w:tcW w:w="7020" w:type="dxa"/>
            <w:gridSpan w:val="3"/>
            <w:tcBorders/>
          </w:tcPr>
          <w:p>
            <w:pPr>
              <w:pStyle w:val="SubClauseText"/>
              <w:widowControl w:val="false"/>
              <w:numPr>
                <w:ilvl w:val="0"/>
                <w:numId w:val="149"/>
              </w:numPr>
              <w:tabs>
                <w:tab w:val="clear" w:pos="720"/>
                <w:tab w:val="left" w:pos="1062" w:leader="none"/>
              </w:tabs>
              <w:spacing w:before="80" w:after="80"/>
              <w:ind w:left="1062" w:hanging="450"/>
              <w:rPr>
                <w:rFonts w:ascii="Arial" w:hAnsi="Arial" w:cs="Arial"/>
                <w:bCs/>
                <w:sz w:val="22"/>
                <w:szCs w:val="22"/>
                <w:lang w:val="en-GB"/>
              </w:rPr>
            </w:pPr>
            <w:r>
              <w:rPr>
                <w:rFonts w:cs="Arial" w:ascii="Arial" w:hAnsi="Arial"/>
                <w:sz w:val="22"/>
                <w:szCs w:val="22"/>
                <w:lang w:val="en-GB"/>
              </w:rPr>
              <w:t>adequacy of minimum liquid assets i.e working capital substantiated by Audit Reports or bank statement  or credit line(s) substantiated by any scheduled Bank of Bangladesh in the format as specified (</w:t>
            </w:r>
            <w:r>
              <w:rPr>
                <w:rFonts w:cs="Arial" w:ascii="Arial" w:hAnsi="Arial"/>
                <w:b/>
                <w:sz w:val="22"/>
                <w:szCs w:val="22"/>
                <w:lang w:val="en-GB"/>
              </w:rPr>
              <w:t>Form PG3-8</w:t>
            </w:r>
            <w:r>
              <w:rPr>
                <w:rFonts w:cs="Arial" w:ascii="Arial" w:hAnsi="Arial"/>
                <w:sz w:val="22"/>
                <w:szCs w:val="22"/>
                <w:lang w:val="en-GB"/>
              </w:rPr>
              <w:t>), without alterationas stated under ITT Sub Clause 15.1(a);</w:t>
            </w:r>
          </w:p>
        </w:tc>
      </w:tr>
      <w:tr>
        <w:trPr/>
        <w:tc>
          <w:tcPr>
            <w:tcW w:w="2222" w:type="dxa"/>
            <w:vMerge w:val="restart"/>
            <w:tcBorders/>
            <w:shd w:color="auto" w:fill="auto" w:val="clear"/>
          </w:tcPr>
          <w:p>
            <w:pPr>
              <w:pStyle w:val="Normal"/>
              <w:widowControl w:val="false"/>
              <w:numPr>
                <w:ilvl w:val="0"/>
                <w:numId w:val="0"/>
              </w:numPr>
              <w:spacing w:before="80" w:after="80"/>
              <w:ind w:left="0" w:hanging="0"/>
              <w:outlineLvl w:val="2"/>
              <w:rPr>
                <w:rStyle w:val="Heading3Char"/>
                <w:rFonts w:ascii="Arial" w:hAnsi="Arial"/>
                <w:b/>
                <w:b/>
                <w:sz w:val="22"/>
                <w:szCs w:val="22"/>
              </w:rPr>
            </w:pPr>
            <w:r>
              <w:rPr>
                <w:rFonts w:ascii="Arial" w:hAnsi="Arial"/>
                <w:b/>
                <w:sz w:val="22"/>
                <w:szCs w:val="22"/>
              </w:rPr>
            </w:r>
          </w:p>
        </w:tc>
        <w:tc>
          <w:tcPr>
            <w:tcW w:w="7020" w:type="dxa"/>
            <w:gridSpan w:val="3"/>
            <w:tcBorders/>
          </w:tcPr>
          <w:p>
            <w:pPr>
              <w:pStyle w:val="SubClauseText"/>
              <w:widowControl w:val="false"/>
              <w:numPr>
                <w:ilvl w:val="0"/>
                <w:numId w:val="149"/>
              </w:numPr>
              <w:tabs>
                <w:tab w:val="clear" w:pos="720"/>
                <w:tab w:val="left" w:pos="1062" w:leader="none"/>
              </w:tabs>
              <w:spacing w:before="80" w:after="80"/>
              <w:ind w:left="1062" w:hanging="450"/>
              <w:rPr>
                <w:rFonts w:ascii="Arial" w:hAnsi="Arial" w:cs="Arial"/>
                <w:bCs/>
                <w:sz w:val="22"/>
                <w:szCs w:val="22"/>
                <w:lang w:val="en-GB"/>
              </w:rPr>
            </w:pPr>
            <w:r>
              <w:rPr>
                <w:rFonts w:cs="Arial" w:ascii="Arial" w:hAnsi="Arial"/>
                <w:sz w:val="22"/>
                <w:szCs w:val="22"/>
                <w:lang w:val="en-GB"/>
              </w:rPr>
              <w:t xml:space="preserve">information regarding claims under litigation, current or during the last years as specified in the </w:t>
            </w:r>
            <w:r>
              <w:rPr>
                <w:rFonts w:cs="Arial" w:ascii="Arial" w:hAnsi="Arial"/>
                <w:b/>
                <w:sz w:val="22"/>
                <w:szCs w:val="22"/>
                <w:lang w:val="en-GB"/>
              </w:rPr>
              <w:t>TDS</w:t>
            </w:r>
            <w:r>
              <w:rPr>
                <w:rFonts w:cs="Arial" w:ascii="Arial" w:hAnsi="Arial"/>
                <w:sz w:val="22"/>
                <w:szCs w:val="22"/>
                <w:lang w:val="en-GB"/>
              </w:rPr>
              <w:t>, in which the Tenderer is involved, the parties concerned, and value of claim as stated under ITT Sub Clause 15.1(b), substantiated by statementin its letter-head pad;</w:t>
            </w:r>
          </w:p>
        </w:tc>
      </w:tr>
      <w:tr>
        <w:trPr/>
        <w:tc>
          <w:tcPr>
            <w:tcW w:w="2222" w:type="dxa"/>
            <w:vMerge w:val="continue"/>
            <w:tcBorders/>
            <w:shd w:color="auto" w:fill="auto" w:val="clear"/>
          </w:tcPr>
          <w:p>
            <w:pPr>
              <w:pStyle w:val="Normal"/>
              <w:widowControl w:val="false"/>
              <w:numPr>
                <w:ilvl w:val="0"/>
                <w:numId w:val="0"/>
              </w:numPr>
              <w:spacing w:before="80" w:after="80"/>
              <w:ind w:left="0" w:hanging="0"/>
              <w:outlineLvl w:val="2"/>
              <w:rPr>
                <w:rStyle w:val="Heading3Char"/>
                <w:rFonts w:ascii="Arial" w:hAnsi="Arial"/>
                <w:b/>
                <w:b/>
                <w:sz w:val="22"/>
                <w:szCs w:val="22"/>
              </w:rPr>
            </w:pPr>
            <w:r>
              <w:rPr>
                <w:rFonts w:ascii="Arial" w:hAnsi="Arial"/>
                <w:b/>
                <w:sz w:val="22"/>
                <w:szCs w:val="22"/>
              </w:rPr>
            </w:r>
          </w:p>
        </w:tc>
        <w:tc>
          <w:tcPr>
            <w:tcW w:w="7020" w:type="dxa"/>
            <w:gridSpan w:val="3"/>
            <w:tcBorders/>
          </w:tcPr>
          <w:p>
            <w:pPr>
              <w:pStyle w:val="SubClauseText"/>
              <w:widowControl w:val="false"/>
              <w:numPr>
                <w:ilvl w:val="0"/>
                <w:numId w:val="149"/>
              </w:numPr>
              <w:tabs>
                <w:tab w:val="clear" w:pos="720"/>
                <w:tab w:val="left" w:pos="1062" w:leader="none"/>
              </w:tabs>
              <w:spacing w:before="120" w:after="120"/>
              <w:ind w:left="1062" w:hanging="450"/>
              <w:rPr>
                <w:rFonts w:ascii="Arial" w:hAnsi="Arial" w:cs="Arial"/>
                <w:bCs/>
                <w:sz w:val="22"/>
                <w:szCs w:val="22"/>
                <w:lang w:val="en-GB"/>
              </w:rPr>
            </w:pPr>
            <w:r>
              <w:rPr>
                <w:rFonts w:cs="Arial" w:ascii="Arial" w:hAnsi="Arial"/>
                <w:sz w:val="22"/>
                <w:szCs w:val="22"/>
                <w:lang w:val="en-GB"/>
              </w:rPr>
              <w:t xml:space="preserve">if required in the </w:t>
            </w:r>
            <w:r>
              <w:rPr>
                <w:rFonts w:cs="Arial" w:ascii="Arial" w:hAnsi="Arial"/>
                <w:b/>
                <w:sz w:val="22"/>
                <w:szCs w:val="22"/>
                <w:lang w:val="en-GB"/>
              </w:rPr>
              <w:t>TDS</w:t>
            </w:r>
            <w:r>
              <w:rPr>
                <w:rFonts w:cs="Arial" w:ascii="Arial" w:hAnsi="Arial"/>
                <w:sz w:val="22"/>
                <w:szCs w:val="22"/>
                <w:lang w:val="en-GB"/>
              </w:rPr>
              <w:t xml:space="preserve">, a Tenderer that does not manufacture or produce the Goods shall submit the </w:t>
            </w:r>
            <w:r>
              <w:rPr>
                <w:rFonts w:cs="Arial" w:ascii="Arial" w:hAnsi="Arial"/>
                <w:b/>
                <w:sz w:val="22"/>
                <w:szCs w:val="22"/>
                <w:lang w:val="en-GB"/>
              </w:rPr>
              <w:t>Manufacturer’s Authorization Letter</w:t>
            </w:r>
            <w:r>
              <w:rPr>
                <w:rFonts w:cs="Arial" w:ascii="Arial" w:hAnsi="Arial"/>
                <w:sz w:val="22"/>
                <w:szCs w:val="22"/>
                <w:lang w:val="en-GB"/>
              </w:rPr>
              <w:t xml:space="preserve"> (</w:t>
            </w:r>
            <w:r>
              <w:rPr>
                <w:rFonts w:cs="Arial" w:ascii="Arial" w:hAnsi="Arial"/>
                <w:b/>
                <w:sz w:val="22"/>
                <w:szCs w:val="22"/>
                <w:lang w:val="en-GB"/>
              </w:rPr>
              <w:t>Form PG3-6);</w:t>
            </w:r>
          </w:p>
        </w:tc>
      </w:tr>
      <w:tr>
        <w:trPr/>
        <w:tc>
          <w:tcPr>
            <w:tcW w:w="2222" w:type="dxa"/>
            <w:vMerge w:val="continue"/>
            <w:tcBorders/>
            <w:shd w:color="auto" w:fill="auto" w:val="clear"/>
          </w:tcPr>
          <w:p>
            <w:pPr>
              <w:pStyle w:val="Normal"/>
              <w:widowControl w:val="false"/>
              <w:numPr>
                <w:ilvl w:val="0"/>
                <w:numId w:val="0"/>
              </w:numPr>
              <w:spacing w:before="80" w:after="80"/>
              <w:ind w:left="0" w:hanging="0"/>
              <w:outlineLvl w:val="2"/>
              <w:rPr>
                <w:rStyle w:val="Heading3Char"/>
                <w:rFonts w:ascii="Arial" w:hAnsi="Arial"/>
                <w:b/>
                <w:b/>
                <w:sz w:val="22"/>
                <w:szCs w:val="22"/>
              </w:rPr>
            </w:pPr>
            <w:r>
              <w:rPr>
                <w:rFonts w:ascii="Arial" w:hAnsi="Arial"/>
                <w:b/>
                <w:sz w:val="22"/>
                <w:szCs w:val="22"/>
              </w:rPr>
            </w:r>
          </w:p>
        </w:tc>
        <w:tc>
          <w:tcPr>
            <w:tcW w:w="7020" w:type="dxa"/>
            <w:gridSpan w:val="3"/>
            <w:tcBorders/>
          </w:tcPr>
          <w:p>
            <w:pPr>
              <w:pStyle w:val="SubClauseText"/>
              <w:widowControl w:val="false"/>
              <w:numPr>
                <w:ilvl w:val="0"/>
                <w:numId w:val="149"/>
              </w:numPr>
              <w:tabs>
                <w:tab w:val="clear" w:pos="720"/>
                <w:tab w:val="left" w:pos="1062" w:leader="none"/>
              </w:tabs>
              <w:spacing w:before="120" w:after="120"/>
              <w:ind w:left="1062" w:hanging="450"/>
              <w:rPr>
                <w:rFonts w:ascii="Arial" w:hAnsi="Arial" w:cs="Arial"/>
                <w:bCs/>
                <w:sz w:val="22"/>
                <w:szCs w:val="22"/>
                <w:lang w:val="en-GB"/>
              </w:rPr>
            </w:pPr>
            <w:r>
              <w:rPr>
                <w:rFonts w:cs="Arial" w:ascii="Arial" w:hAnsi="Arial"/>
                <w:sz w:val="22"/>
                <w:szCs w:val="22"/>
                <w:lang w:val="en-GB"/>
              </w:rPr>
              <w:t>authority to seek references from the Tenderer’s Bankers or any other sources in its letter-head pad; and</w:t>
            </w:r>
          </w:p>
        </w:tc>
      </w:tr>
      <w:tr>
        <w:trPr/>
        <w:tc>
          <w:tcPr>
            <w:tcW w:w="2222" w:type="dxa"/>
            <w:vMerge w:val="continue"/>
            <w:tcBorders/>
            <w:shd w:color="auto" w:fill="auto" w:val="clear"/>
          </w:tcPr>
          <w:p>
            <w:pPr>
              <w:pStyle w:val="Normal"/>
              <w:widowControl w:val="false"/>
              <w:numPr>
                <w:ilvl w:val="0"/>
                <w:numId w:val="0"/>
              </w:numPr>
              <w:spacing w:before="80" w:after="80"/>
              <w:ind w:left="0" w:hanging="0"/>
              <w:outlineLvl w:val="2"/>
              <w:rPr>
                <w:rStyle w:val="Heading3Char"/>
                <w:rFonts w:ascii="Arial" w:hAnsi="Arial"/>
                <w:b/>
                <w:b/>
                <w:sz w:val="22"/>
                <w:szCs w:val="22"/>
              </w:rPr>
            </w:pPr>
            <w:r>
              <w:rPr>
                <w:rFonts w:ascii="Arial" w:hAnsi="Arial"/>
                <w:b/>
                <w:sz w:val="22"/>
                <w:szCs w:val="22"/>
              </w:rPr>
            </w:r>
          </w:p>
        </w:tc>
        <w:tc>
          <w:tcPr>
            <w:tcW w:w="7020" w:type="dxa"/>
            <w:gridSpan w:val="3"/>
            <w:tcBorders/>
          </w:tcPr>
          <w:p>
            <w:pPr>
              <w:pStyle w:val="SubClauseText"/>
              <w:widowControl w:val="false"/>
              <w:numPr>
                <w:ilvl w:val="0"/>
                <w:numId w:val="149"/>
              </w:numPr>
              <w:tabs>
                <w:tab w:val="clear" w:pos="720"/>
                <w:tab w:val="left" w:pos="1062" w:leader="none"/>
              </w:tabs>
              <w:spacing w:before="120" w:after="120"/>
              <w:ind w:left="1062" w:hanging="450"/>
              <w:rPr>
                <w:rFonts w:ascii="Arial" w:hAnsi="Arial" w:cs="Arial"/>
                <w:bCs/>
                <w:sz w:val="22"/>
                <w:szCs w:val="22"/>
                <w:lang w:val="en-GB"/>
              </w:rPr>
            </w:pPr>
            <w:r>
              <w:rPr>
                <w:rFonts w:cs="Arial" w:ascii="Arial" w:hAnsi="Arial"/>
                <w:sz w:val="22"/>
                <w:szCs w:val="22"/>
                <w:lang w:val="en-GB"/>
              </w:rPr>
              <w:t xml:space="preserve">reports on the financial standing of the Tenderers, such as profit and loss statements and audited balance sheet for the past years as specified in the </w:t>
            </w:r>
            <w:r>
              <w:rPr>
                <w:rFonts w:cs="Arial" w:ascii="Arial" w:hAnsi="Arial"/>
                <w:b/>
                <w:sz w:val="22"/>
                <w:szCs w:val="22"/>
                <w:lang w:val="en-GB"/>
              </w:rPr>
              <w:t>TDS</w:t>
            </w:r>
            <w:r>
              <w:rPr>
                <w:rFonts w:cs="Arial" w:ascii="Arial" w:hAnsi="Arial"/>
                <w:sz w:val="22"/>
                <w:szCs w:val="22"/>
                <w:lang w:val="en-GB"/>
              </w:rPr>
              <w:t>, substantiated by Audit Reports.</w:t>
            </w:r>
          </w:p>
        </w:tc>
      </w:tr>
      <w:tr>
        <w:trPr/>
        <w:tc>
          <w:tcPr>
            <w:tcW w:w="2222" w:type="dxa"/>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231" w:name="_Toc49591349"/>
            <w:bookmarkStart w:id="232" w:name="_Toc438733985"/>
            <w:bookmarkStart w:id="233" w:name="_Toc438532604"/>
            <w:bookmarkStart w:id="234" w:name="_Toc438438841"/>
            <w:bookmarkStart w:id="235" w:name="_Toc421454220"/>
            <w:bookmarkStart w:id="236" w:name="_Toc49504217"/>
            <w:bookmarkStart w:id="237" w:name="_Toc49569787"/>
            <w:bookmarkStart w:id="238" w:name="_Toc49591697"/>
            <w:bookmarkStart w:id="239" w:name="_Toc438907024"/>
            <w:bookmarkStart w:id="240" w:name="_Toc438907223"/>
            <w:bookmarkStart w:id="241" w:name="_Toc37047293"/>
            <w:bookmarkStart w:id="242" w:name="_Toc37234064"/>
            <w:bookmarkStart w:id="243" w:name="_Toc49504770"/>
            <w:bookmarkStart w:id="244" w:name="_Toc49504651"/>
            <w:r>
              <w:rPr>
                <w:rStyle w:val="Heading3Char"/>
                <w:rFonts w:ascii="Arial" w:hAnsi="Arial"/>
                <w:b/>
                <w:sz w:val="22"/>
                <w:szCs w:val="22"/>
              </w:rPr>
              <w:t>Validity Period of  Tender</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tc>
        <w:tc>
          <w:tcPr>
            <w:tcW w:w="7020" w:type="dxa"/>
            <w:gridSpan w:val="3"/>
            <w:tcBorders/>
          </w:tcPr>
          <w:p>
            <w:pPr>
              <w:pStyle w:val="SubClauseText"/>
              <w:widowControl w:val="false"/>
              <w:numPr>
                <w:ilvl w:val="0"/>
                <w:numId w:val="140"/>
              </w:numPr>
              <w:tabs>
                <w:tab w:val="clear" w:pos="720"/>
                <w:tab w:val="left" w:pos="612" w:leader="none"/>
              </w:tabs>
              <w:spacing w:before="120" w:after="120"/>
              <w:ind w:left="612" w:hanging="612"/>
              <w:rPr>
                <w:rFonts w:ascii="Arial" w:hAnsi="Arial" w:cs="Arial"/>
                <w:sz w:val="22"/>
                <w:szCs w:val="22"/>
                <w:lang w:val="en-GB"/>
              </w:rPr>
            </w:pPr>
            <w:r>
              <w:rPr>
                <w:rFonts w:cs="Arial" w:ascii="Arial" w:hAnsi="Arial"/>
                <w:bCs/>
                <w:sz w:val="22"/>
                <w:szCs w:val="22"/>
                <w:lang w:val="en-GB"/>
              </w:rPr>
              <w:t xml:space="preserve">Tenders shall remain valid for the period specified in the </w:t>
            </w:r>
            <w:r>
              <w:rPr>
                <w:rFonts w:cs="Arial" w:ascii="Arial" w:hAnsi="Arial"/>
                <w:b/>
                <w:bCs/>
                <w:sz w:val="22"/>
                <w:szCs w:val="22"/>
                <w:lang w:val="en-GB"/>
              </w:rPr>
              <w:t>TDS</w:t>
            </w:r>
            <w:r>
              <w:rPr>
                <w:rFonts w:cs="Arial" w:ascii="Arial" w:hAnsi="Arial"/>
                <w:bCs/>
                <w:sz w:val="22"/>
                <w:szCs w:val="22"/>
                <w:lang w:val="en-GB"/>
              </w:rPr>
              <w:t xml:space="preserve"> after the date of Tender submission deadline prescribed by the Procuring Entity. A Tender valid for a period shorter than that specified will be considered non- responsive.</w:t>
            </w:r>
          </w:p>
        </w:tc>
      </w:tr>
      <w:tr>
        <w:trPr/>
        <w:tc>
          <w:tcPr>
            <w:tcW w:w="2222" w:type="dxa"/>
            <w:vMerge w:val="restart"/>
            <w:tcBorders/>
            <w:shd w:color="auto" w:fill="auto" w:val="clear"/>
          </w:tcPr>
          <w:p>
            <w:pPr>
              <w:pStyle w:val="Normal"/>
              <w:widowControl w:val="false"/>
              <w:numPr>
                <w:ilvl w:val="0"/>
                <w:numId w:val="31"/>
              </w:numPr>
              <w:spacing w:before="96" w:after="96"/>
              <w:ind w:left="360" w:hanging="346"/>
              <w:outlineLvl w:val="2"/>
              <w:rPr>
                <w:rStyle w:val="Heading3Char"/>
                <w:rFonts w:ascii="Arial" w:hAnsi="Arial"/>
                <w:b/>
                <w:b/>
                <w:sz w:val="22"/>
                <w:szCs w:val="22"/>
              </w:rPr>
            </w:pPr>
            <w:bookmarkStart w:id="245" w:name="_Toc421454221"/>
            <w:r>
              <w:rPr>
                <w:rStyle w:val="Heading3Char"/>
                <w:rFonts w:ascii="Arial" w:hAnsi="Arial"/>
                <w:b/>
                <w:sz w:val="22"/>
                <w:szCs w:val="22"/>
              </w:rPr>
              <w:t>Extension of Tender Validity and Tender Security</w:t>
            </w:r>
            <w:bookmarkEnd w:id="245"/>
          </w:p>
        </w:tc>
        <w:tc>
          <w:tcPr>
            <w:tcW w:w="7020" w:type="dxa"/>
            <w:gridSpan w:val="3"/>
            <w:tcBorders/>
          </w:tcPr>
          <w:p>
            <w:pPr>
              <w:pStyle w:val="SubClauseText"/>
              <w:widowControl w:val="false"/>
              <w:numPr>
                <w:ilvl w:val="0"/>
                <w:numId w:val="79"/>
              </w:numPr>
              <w:tabs>
                <w:tab w:val="clear" w:pos="720"/>
                <w:tab w:val="left" w:pos="567" w:leader="none"/>
              </w:tabs>
              <w:spacing w:before="96" w:after="96"/>
              <w:ind w:left="585" w:hanging="576"/>
              <w:rPr>
                <w:rFonts w:ascii="Arial" w:hAnsi="Arial" w:cs="Arial"/>
                <w:sz w:val="22"/>
                <w:szCs w:val="22"/>
                <w:lang w:val="en-GB"/>
              </w:rPr>
            </w:pPr>
            <w:r>
              <w:rPr>
                <w:rFonts w:cs="Arial" w:ascii="Arial" w:hAnsi="Arial"/>
                <w:sz w:val="22"/>
                <w:szCs w:val="22"/>
                <w:lang w:val="en-GB"/>
              </w:rPr>
              <w:t>In exceptional circumstances, prior to the expiration of the Tender Validity period, the Procuring Entity may solicit all the Tenderers’ consent to an extension of the period of validity of their Tenders; provided that those Tenderers have passed the preliminary examination as stated under ITT Sub Clause 47.2.</w:t>
            </w:r>
          </w:p>
        </w:tc>
      </w:tr>
      <w:tr>
        <w:trPr/>
        <w:tc>
          <w:tcPr>
            <w:tcW w:w="2222" w:type="dxa"/>
            <w:vMerge w:val="continue"/>
            <w:tcBorders/>
            <w:shd w:color="auto" w:fill="auto" w:val="clear"/>
          </w:tcPr>
          <w:p>
            <w:pPr>
              <w:pStyle w:val="Heading4"/>
              <w:widowControl w:val="false"/>
              <w:spacing w:before="96" w:after="96"/>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79"/>
              </w:numPr>
              <w:tabs>
                <w:tab w:val="clear" w:pos="720"/>
                <w:tab w:val="left" w:pos="567" w:leader="none"/>
              </w:tabs>
              <w:spacing w:before="96" w:after="96"/>
              <w:ind w:left="585" w:hanging="576"/>
              <w:rPr>
                <w:rFonts w:ascii="Arial" w:hAnsi="Arial" w:cs="Arial"/>
                <w:bCs/>
                <w:sz w:val="22"/>
                <w:szCs w:val="22"/>
                <w:lang w:val="en-GB"/>
              </w:rPr>
            </w:pPr>
            <w:r>
              <w:rPr>
                <w:rFonts w:cs="Arial" w:ascii="Arial" w:hAnsi="Arial"/>
                <w:bCs/>
                <w:sz w:val="22"/>
                <w:szCs w:val="22"/>
                <w:lang w:val="en-GB"/>
              </w:rPr>
              <w:t>The request for extension of Tender Validity period shall state the new date of the validity of the Tender.</w:t>
            </w:r>
          </w:p>
        </w:tc>
      </w:tr>
      <w:tr>
        <w:trPr/>
        <w:tc>
          <w:tcPr>
            <w:tcW w:w="2222" w:type="dxa"/>
            <w:vMerge w:val="continue"/>
            <w:tcBorders/>
            <w:shd w:color="auto" w:fill="auto" w:val="clear"/>
          </w:tcPr>
          <w:p>
            <w:pPr>
              <w:pStyle w:val="Heading4"/>
              <w:widowControl w:val="false"/>
              <w:spacing w:before="96" w:after="96"/>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79"/>
              </w:numPr>
              <w:tabs>
                <w:tab w:val="clear" w:pos="720"/>
                <w:tab w:val="left" w:pos="567" w:leader="none"/>
              </w:tabs>
              <w:spacing w:before="96" w:after="96"/>
              <w:ind w:left="585" w:hanging="576"/>
              <w:rPr>
                <w:rFonts w:ascii="Arial" w:hAnsi="Arial" w:cs="Arial"/>
                <w:bCs/>
                <w:sz w:val="22"/>
                <w:szCs w:val="22"/>
                <w:lang w:val="en-GB"/>
              </w:rPr>
            </w:pPr>
            <w:r>
              <w:rPr>
                <w:rFonts w:cs="Arial" w:ascii="Arial" w:hAnsi="Arial"/>
                <w:bCs/>
                <w:sz w:val="22"/>
                <w:szCs w:val="22"/>
                <w:lang w:val="en-GB"/>
              </w:rPr>
              <w:t>The request and the responses shall be made in writing. Validity of the Tender Security provided under ITT Clause 31 shall also be suitably extended for twenty-eight (28) days beyond the new date for the expiry of the Tender Validity. If a Tenderer does not respond or refuses the request it shall not forfeit its Tender Security, but its Tender shall no longer be considered in the evaluation proceedings. A Tenderer agreeing to the request will not be required or permitted to modify its Tender.</w:t>
            </w:r>
          </w:p>
        </w:tc>
      </w:tr>
      <w:tr>
        <w:trPr>
          <w:trHeight w:val="963" w:hRule="atLeast"/>
        </w:trPr>
        <w:tc>
          <w:tcPr>
            <w:tcW w:w="2222" w:type="dxa"/>
            <w:vMerge w:val="restart"/>
            <w:tcBorders/>
            <w:shd w:color="auto" w:fill="auto" w:val="clear"/>
          </w:tcPr>
          <w:p>
            <w:pPr>
              <w:pStyle w:val="Normal"/>
              <w:widowControl w:val="false"/>
              <w:numPr>
                <w:ilvl w:val="0"/>
                <w:numId w:val="31"/>
              </w:numPr>
              <w:spacing w:before="96" w:after="96"/>
              <w:ind w:left="360" w:hanging="346"/>
              <w:outlineLvl w:val="2"/>
              <w:rPr>
                <w:rStyle w:val="Heading3Char"/>
                <w:rFonts w:ascii="Arial" w:hAnsi="Arial"/>
                <w:b/>
                <w:b/>
                <w:sz w:val="22"/>
                <w:szCs w:val="22"/>
              </w:rPr>
            </w:pPr>
            <w:bookmarkStart w:id="246" w:name="_Toc421454222"/>
            <w:r>
              <w:rPr>
                <w:rStyle w:val="Heading3Char"/>
                <w:rFonts w:ascii="Arial" w:hAnsi="Arial"/>
                <w:b/>
                <w:sz w:val="22"/>
                <w:szCs w:val="22"/>
              </w:rPr>
              <w:t>Tender Security</w:t>
            </w:r>
            <w:bookmarkEnd w:id="246"/>
          </w:p>
        </w:tc>
        <w:tc>
          <w:tcPr>
            <w:tcW w:w="7020" w:type="dxa"/>
            <w:gridSpan w:val="3"/>
            <w:tcBorders/>
          </w:tcPr>
          <w:p>
            <w:pPr>
              <w:pStyle w:val="SubClauseText"/>
              <w:widowControl w:val="false"/>
              <w:numPr>
                <w:ilvl w:val="0"/>
                <w:numId w:val="80"/>
              </w:numPr>
              <w:spacing w:before="96" w:after="96"/>
              <w:ind w:left="540" w:hanging="540"/>
              <w:rPr>
                <w:rFonts w:ascii="Arial" w:hAnsi="Arial" w:cs="Arial"/>
                <w:sz w:val="22"/>
                <w:szCs w:val="22"/>
                <w:lang w:val="en-GB"/>
              </w:rPr>
            </w:pPr>
            <w:r>
              <w:rPr>
                <w:rFonts w:cs="Arial" w:ascii="Arial" w:hAnsi="Arial"/>
                <w:sz w:val="22"/>
                <w:szCs w:val="22"/>
                <w:lang w:val="en-GB"/>
              </w:rPr>
              <w:t>Tenderers shall furnish as part of its Tender, in favour of the Procuring Entity or as otherwise directed on account of the Tenderer, a Tender Security in original form (not copy) and in the amount, as specified in the</w:t>
            </w:r>
            <w:r>
              <w:rPr>
                <w:rFonts w:cs="Arial" w:ascii="Arial" w:hAnsi="Arial"/>
                <w:b/>
                <w:sz w:val="22"/>
                <w:szCs w:val="22"/>
                <w:lang w:val="en-GB"/>
              </w:rPr>
              <w:t xml:space="preserve"> TDS.</w:t>
            </w:r>
          </w:p>
        </w:tc>
      </w:tr>
      <w:tr>
        <w:trPr/>
        <w:tc>
          <w:tcPr>
            <w:tcW w:w="2222" w:type="dxa"/>
            <w:vMerge w:val="continue"/>
            <w:tcBorders/>
            <w:shd w:color="auto" w:fill="auto" w:val="clear"/>
          </w:tcPr>
          <w:p>
            <w:pPr>
              <w:pStyle w:val="Normal"/>
              <w:widowControl w:val="false"/>
              <w:spacing w:before="96" w:after="96"/>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80"/>
              </w:numPr>
              <w:spacing w:before="96" w:after="96"/>
              <w:ind w:left="585" w:hanging="576"/>
              <w:rPr>
                <w:rFonts w:ascii="Arial" w:hAnsi="Arial" w:cs="Arial"/>
                <w:sz w:val="22"/>
                <w:szCs w:val="22"/>
              </w:rPr>
            </w:pPr>
            <w:r>
              <w:rPr>
                <w:rFonts w:cs="Arial" w:ascii="Arial" w:hAnsi="Arial"/>
                <w:sz w:val="22"/>
                <w:szCs w:val="22"/>
                <w:lang w:val="en-GB"/>
              </w:rPr>
              <w:t xml:space="preserve">One Tender Security, in a separate envelope, at the percentage as specified in </w:t>
            </w:r>
            <w:r>
              <w:rPr>
                <w:rFonts w:cs="Arial" w:ascii="Arial" w:hAnsi="Arial"/>
                <w:b/>
                <w:sz w:val="22"/>
                <w:szCs w:val="22"/>
                <w:lang w:val="en-GB"/>
              </w:rPr>
              <w:t>TDS</w:t>
            </w:r>
            <w:r>
              <w:rPr>
                <w:rFonts w:cs="Arial" w:ascii="Arial" w:hAnsi="Arial"/>
                <w:sz w:val="22"/>
                <w:szCs w:val="22"/>
                <w:lang w:val="en-GB"/>
              </w:rPr>
              <w:t>, of the total value of the items quoted by the Tenderer, shall be submitted, if so indicated that the Tenders for one or more items are invited on an ”lot-by-lot” basis.</w:t>
            </w:r>
          </w:p>
        </w:tc>
      </w:tr>
      <w:tr>
        <w:trPr/>
        <w:tc>
          <w:tcPr>
            <w:tcW w:w="2222" w:type="dxa"/>
            <w:vMerge w:val="continue"/>
            <w:tcBorders/>
            <w:shd w:color="auto" w:fill="auto" w:val="clear"/>
          </w:tcPr>
          <w:p>
            <w:pPr>
              <w:pStyle w:val="Normal"/>
              <w:widowControl w:val="false"/>
              <w:spacing w:before="96" w:after="96"/>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80"/>
              </w:numPr>
              <w:spacing w:before="96" w:after="96"/>
              <w:ind w:left="585" w:hanging="576"/>
              <w:rPr>
                <w:rFonts w:ascii="Arial" w:hAnsi="Arial" w:cs="Arial"/>
                <w:sz w:val="21"/>
                <w:szCs w:val="21"/>
                <w:lang w:val="en-GB"/>
              </w:rPr>
            </w:pPr>
            <w:r>
              <w:rPr>
                <w:rFonts w:cs="Arial" w:ascii="Arial" w:hAnsi="Arial"/>
                <w:sz w:val="22"/>
                <w:szCs w:val="22"/>
                <w:lang w:val="en-GB"/>
              </w:rPr>
              <w:t xml:space="preserve"> </w:t>
            </w:r>
            <w:r>
              <w:rPr>
                <w:rFonts w:cs="Arial" w:ascii="Arial" w:hAnsi="Arial"/>
                <w:sz w:val="22"/>
                <w:szCs w:val="22"/>
                <w:lang w:val="en-GB"/>
              </w:rPr>
              <w:t xml:space="preserve">In case of substitution of the Tender as stated under ITT Clause </w:t>
            </w:r>
            <w:r>
              <w:rPr>
                <w:rFonts w:cs="Arial" w:ascii="Arial" w:hAnsi="Arial"/>
                <w:sz w:val="22"/>
                <w:szCs w:val="22"/>
                <w:highlight w:val="yellow"/>
                <w:lang w:val="en-GB"/>
              </w:rPr>
              <w:t>4</w:t>
            </w:r>
            <w:r>
              <w:rPr>
                <w:rFonts w:cs="Arial" w:ascii="Arial" w:hAnsi="Arial"/>
                <w:sz w:val="22"/>
                <w:szCs w:val="22"/>
                <w:lang w:val="en-GB"/>
              </w:rPr>
              <w:t>2a new Tender Security shall be required in the substituted Tender.</w:t>
            </w:r>
          </w:p>
        </w:tc>
      </w:tr>
      <w:tr>
        <w:trPr>
          <w:trHeight w:val="1008" w:hRule="atLeast"/>
        </w:trPr>
        <w:tc>
          <w:tcPr>
            <w:tcW w:w="2222" w:type="dxa"/>
            <w:tcBorders/>
            <w:shd w:color="auto" w:fill="auto" w:val="clear"/>
          </w:tcPr>
          <w:p>
            <w:pPr>
              <w:pStyle w:val="Normal"/>
              <w:widowControl w:val="false"/>
              <w:numPr>
                <w:ilvl w:val="0"/>
                <w:numId w:val="31"/>
              </w:numPr>
              <w:spacing w:before="96" w:after="96"/>
              <w:ind w:left="360" w:hanging="346"/>
              <w:outlineLvl w:val="2"/>
              <w:rPr>
                <w:rStyle w:val="Heading3Char"/>
                <w:rFonts w:ascii="Arial" w:hAnsi="Arial"/>
                <w:b/>
                <w:b/>
                <w:sz w:val="22"/>
                <w:szCs w:val="22"/>
              </w:rPr>
            </w:pPr>
            <w:bookmarkStart w:id="247" w:name="_Toc421454223"/>
            <w:r>
              <w:rPr>
                <w:rStyle w:val="Heading3Char"/>
                <w:rFonts w:ascii="Arial" w:hAnsi="Arial"/>
                <w:b/>
                <w:sz w:val="22"/>
                <w:szCs w:val="22"/>
              </w:rPr>
              <w:t>Form of Tender security</w:t>
            </w:r>
            <w:bookmarkEnd w:id="247"/>
          </w:p>
        </w:tc>
        <w:tc>
          <w:tcPr>
            <w:tcW w:w="7020" w:type="dxa"/>
            <w:gridSpan w:val="3"/>
            <w:tcBorders/>
          </w:tcPr>
          <w:p>
            <w:pPr>
              <w:pStyle w:val="SubClauseText"/>
              <w:keepLines/>
              <w:widowControl w:val="false"/>
              <w:numPr>
                <w:ilvl w:val="0"/>
                <w:numId w:val="81"/>
              </w:numPr>
              <w:spacing w:before="96" w:after="96"/>
              <w:ind w:left="540" w:hanging="540"/>
              <w:rPr>
                <w:rFonts w:ascii="Arial" w:hAnsi="Arial" w:cs="Arial"/>
                <w:sz w:val="21"/>
                <w:szCs w:val="21"/>
                <w:lang w:val="en-GB"/>
              </w:rPr>
            </w:pPr>
            <w:r>
              <w:rPr>
                <w:rFonts w:cs="Arial" w:ascii="Arial" w:hAnsi="Arial"/>
                <w:sz w:val="21"/>
                <w:szCs w:val="21"/>
                <w:lang w:val="en-GB"/>
              </w:rPr>
              <w:t>The Tender Security shall:</w:t>
            </w:r>
          </w:p>
          <w:p>
            <w:pPr>
              <w:pStyle w:val="Normal"/>
              <w:keepLines/>
              <w:widowControl w:val="false"/>
              <w:numPr>
                <w:ilvl w:val="1"/>
                <w:numId w:val="81"/>
              </w:numPr>
              <w:tabs>
                <w:tab w:val="clear" w:pos="720"/>
              </w:tabs>
              <w:spacing w:before="96" w:after="96"/>
              <w:ind w:left="432" w:hanging="360"/>
              <w:jc w:val="both"/>
              <w:rPr>
                <w:rFonts w:ascii="Arial" w:hAnsi="Arial" w:eastAsia="Times New Roman" w:cs="Arial"/>
                <w:spacing w:val="-4"/>
                <w:sz w:val="22"/>
                <w:szCs w:val="22"/>
                <w:lang w:val="en-GB" w:eastAsia="en-US"/>
              </w:rPr>
            </w:pPr>
            <w:bookmarkStart w:id="248" w:name="_Toc50198958"/>
            <w:bookmarkStart w:id="249" w:name="_Toc50259453"/>
            <w:r>
              <w:rPr>
                <w:rFonts w:eastAsia="Times New Roman" w:cs="Arial" w:ascii="Arial" w:hAnsi="Arial"/>
                <w:spacing w:val="-4"/>
                <w:sz w:val="22"/>
                <w:szCs w:val="22"/>
                <w:lang w:val="en-GB" w:eastAsia="en-US"/>
              </w:rPr>
              <w:t>at the Tenderer’s option, be either;</w:t>
            </w:r>
            <w:bookmarkEnd w:id="248"/>
            <w:bookmarkEnd w:id="249"/>
          </w:p>
          <w:p>
            <w:pPr>
              <w:pStyle w:val="Normal"/>
              <w:keepLines/>
              <w:widowControl w:val="false"/>
              <w:numPr>
                <w:ilvl w:val="0"/>
                <w:numId w:val="43"/>
              </w:numPr>
              <w:tabs>
                <w:tab w:val="clear" w:pos="720"/>
              </w:tabs>
              <w:spacing w:before="96" w:after="96"/>
              <w:ind w:left="432" w:hanging="90"/>
              <w:jc w:val="both"/>
              <w:rPr>
                <w:rFonts w:ascii="Arial" w:hAnsi="Arial" w:eastAsia="Times New Roman" w:cs="Arial"/>
                <w:spacing w:val="-4"/>
                <w:sz w:val="22"/>
                <w:szCs w:val="22"/>
                <w:lang w:val="en-GB" w:eastAsia="en-US"/>
              </w:rPr>
            </w:pPr>
            <w:bookmarkStart w:id="250" w:name="_Toc50259454"/>
            <w:bookmarkStart w:id="251" w:name="_Toc50198959"/>
            <w:r>
              <w:rPr>
                <w:rFonts w:eastAsia="Times New Roman" w:cs="Arial" w:ascii="Arial" w:hAnsi="Arial"/>
                <w:spacing w:val="-4"/>
                <w:sz w:val="22"/>
                <w:szCs w:val="22"/>
                <w:lang w:val="en-GB" w:eastAsia="en-US"/>
              </w:rPr>
              <w:t>in the form of a Bank Draft or Pay Order, or</w:t>
            </w:r>
            <w:bookmarkEnd w:id="250"/>
            <w:bookmarkEnd w:id="251"/>
          </w:p>
          <w:p>
            <w:pPr>
              <w:pStyle w:val="Normal"/>
              <w:keepLines/>
              <w:widowControl w:val="false"/>
              <w:numPr>
                <w:ilvl w:val="0"/>
                <w:numId w:val="43"/>
              </w:numPr>
              <w:tabs>
                <w:tab w:val="clear" w:pos="720"/>
              </w:tabs>
              <w:spacing w:before="96" w:after="96"/>
              <w:ind w:left="432" w:hanging="90"/>
              <w:jc w:val="both"/>
              <w:rPr>
                <w:rFonts w:ascii="Arial" w:hAnsi="Arial" w:eastAsia="Times New Roman" w:cs="Arial"/>
                <w:spacing w:val="-12"/>
                <w:sz w:val="22"/>
                <w:szCs w:val="22"/>
                <w:lang w:val="en-GB" w:eastAsia="en-US"/>
              </w:rPr>
            </w:pPr>
            <w:bookmarkStart w:id="252" w:name="_Toc50198960"/>
            <w:bookmarkStart w:id="253" w:name="_Toc50259455"/>
            <w:r>
              <w:rPr>
                <w:rFonts w:eastAsia="Times New Roman" w:cs="Arial" w:ascii="Arial" w:hAnsi="Arial"/>
                <w:spacing w:val="-12"/>
                <w:sz w:val="22"/>
                <w:szCs w:val="22"/>
                <w:lang w:val="en-GB" w:eastAsia="en-US"/>
              </w:rPr>
              <w:t xml:space="preserve">in the form of an irrevocable unconditional Bank Guarantee  issued by any scheduled Bank of Bangladesh, in the format </w:t>
            </w:r>
            <w:r>
              <w:rPr>
                <w:rFonts w:eastAsia="Times New Roman" w:cs="Arial" w:ascii="Arial" w:hAnsi="Arial"/>
                <w:b/>
                <w:spacing w:val="-12"/>
                <w:sz w:val="22"/>
                <w:szCs w:val="22"/>
                <w:lang w:val="en-GB" w:eastAsia="en-US"/>
              </w:rPr>
              <w:t xml:space="preserve">(Form PG3-7), </w:t>
            </w:r>
            <w:r>
              <w:rPr>
                <w:rFonts w:eastAsia="Times New Roman" w:cs="Arial" w:ascii="Arial" w:hAnsi="Arial"/>
                <w:spacing w:val="-12"/>
                <w:sz w:val="22"/>
                <w:szCs w:val="22"/>
                <w:lang w:val="en-GB" w:eastAsia="en-US"/>
              </w:rPr>
              <w:t>without any alteration, furnished in Section 5: Tender and Contract Forms;</w:t>
            </w:r>
            <w:bookmarkEnd w:id="252"/>
            <w:bookmarkEnd w:id="253"/>
          </w:p>
          <w:p>
            <w:pPr>
              <w:pStyle w:val="Normal"/>
              <w:keepLines/>
              <w:widowControl w:val="false"/>
              <w:numPr>
                <w:ilvl w:val="1"/>
                <w:numId w:val="81"/>
              </w:numPr>
              <w:tabs>
                <w:tab w:val="clear" w:pos="720"/>
                <w:tab w:val="left" w:pos="1134" w:leader="none"/>
              </w:tabs>
              <w:spacing w:before="96" w:after="96"/>
              <w:ind w:left="432" w:hanging="360"/>
              <w:jc w:val="both"/>
              <w:rPr>
                <w:rFonts w:ascii="Arial" w:hAnsi="Arial" w:eastAsia="Times New Roman" w:cs="Arial"/>
                <w:spacing w:val="-4"/>
                <w:sz w:val="22"/>
                <w:szCs w:val="22"/>
                <w:lang w:val="en-GB" w:eastAsia="en-US"/>
              </w:rPr>
            </w:pPr>
            <w:bookmarkStart w:id="254" w:name="_Toc50198961"/>
            <w:bookmarkStart w:id="255" w:name="_Toc50259456"/>
            <w:r>
              <w:rPr>
                <w:rFonts w:eastAsia="Times New Roman" w:cs="Arial" w:ascii="Arial" w:hAnsi="Arial"/>
                <w:spacing w:val="-4"/>
                <w:sz w:val="22"/>
                <w:szCs w:val="22"/>
                <w:lang w:val="en-GB" w:eastAsia="en-US"/>
              </w:rPr>
              <w:t xml:space="preserve">be payable promptly upon written demand by the Procuring Entity in the case of the conditions, as stated under ITT Clause </w:t>
            </w:r>
            <w:r>
              <w:rPr>
                <w:rFonts w:eastAsia="Times New Roman" w:cs="Arial" w:ascii="Arial" w:hAnsi="Arial"/>
                <w:spacing w:val="-4"/>
                <w:sz w:val="22"/>
                <w:szCs w:val="22"/>
                <w:highlight w:val="yellow"/>
                <w:lang w:val="en-GB" w:eastAsia="en-US"/>
              </w:rPr>
              <w:t>3</w:t>
            </w:r>
            <w:r>
              <w:rPr>
                <w:rFonts w:eastAsia="Times New Roman" w:cs="Arial" w:ascii="Arial" w:hAnsi="Arial"/>
                <w:spacing w:val="-4"/>
                <w:sz w:val="22"/>
                <w:szCs w:val="22"/>
                <w:lang w:val="en-GB" w:eastAsia="en-US"/>
              </w:rPr>
              <w:t>5.1being invoked;</w:t>
            </w:r>
            <w:bookmarkEnd w:id="254"/>
            <w:bookmarkEnd w:id="255"/>
            <w:r>
              <w:rPr>
                <w:rFonts w:eastAsia="Times New Roman" w:cs="Arial" w:ascii="Arial" w:hAnsi="Arial"/>
                <w:spacing w:val="-4"/>
                <w:sz w:val="22"/>
                <w:szCs w:val="22"/>
                <w:lang w:val="en-GB" w:eastAsia="en-US"/>
              </w:rPr>
              <w:t xml:space="preserve"> and</w:t>
            </w:r>
          </w:p>
          <w:p>
            <w:pPr>
              <w:pStyle w:val="Normal"/>
              <w:keepLines/>
              <w:widowControl w:val="false"/>
              <w:numPr>
                <w:ilvl w:val="1"/>
                <w:numId w:val="81"/>
              </w:numPr>
              <w:tabs>
                <w:tab w:val="clear" w:pos="720"/>
                <w:tab w:val="left" w:pos="1134" w:leader="none"/>
              </w:tabs>
              <w:spacing w:before="96" w:after="96"/>
              <w:ind w:left="432" w:hanging="360"/>
              <w:jc w:val="both"/>
              <w:rPr>
                <w:rFonts w:ascii="Arial" w:hAnsi="Arial" w:cs="Arial"/>
                <w:bCs/>
                <w:sz w:val="21"/>
                <w:szCs w:val="21"/>
                <w:lang w:val="en-GB"/>
              </w:rPr>
            </w:pPr>
            <w:bookmarkStart w:id="256" w:name="_Toc50198962"/>
            <w:bookmarkStart w:id="257" w:name="_Toc50259457"/>
            <w:r>
              <w:rPr>
                <w:rFonts w:cs="Arial" w:ascii="Arial" w:hAnsi="Arial"/>
                <w:sz w:val="22"/>
                <w:szCs w:val="22"/>
                <w:lang w:val="en-GB"/>
              </w:rPr>
              <w:t xml:space="preserve">remain valid for at least twenty-eight (28) days beyond the expiry date of the Tender  Validity in order to make a claim in due course against a Tenderer in the circumstances as stated under ITT Clause </w:t>
            </w:r>
            <w:r>
              <w:rPr>
                <w:rFonts w:cs="Arial" w:ascii="Arial" w:hAnsi="Arial"/>
                <w:sz w:val="22"/>
                <w:szCs w:val="22"/>
                <w:highlight w:val="yellow"/>
                <w:lang w:val="en-GB"/>
              </w:rPr>
              <w:t>35.1</w:t>
            </w:r>
            <w:r>
              <w:rPr>
                <w:rFonts w:cs="Arial" w:ascii="Arial" w:hAnsi="Arial"/>
                <w:sz w:val="22"/>
                <w:szCs w:val="22"/>
                <w:lang w:val="en-GB"/>
              </w:rPr>
              <w:t>.</w:t>
            </w:r>
            <w:bookmarkEnd w:id="256"/>
            <w:bookmarkEnd w:id="257"/>
          </w:p>
        </w:tc>
      </w:tr>
      <w:tr>
        <w:trPr>
          <w:trHeight w:val="1008" w:hRule="atLeast"/>
        </w:trPr>
        <w:tc>
          <w:tcPr>
            <w:tcW w:w="2222" w:type="dxa"/>
            <w:vMerge w:val="restart"/>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258" w:name="_Toc421454224"/>
            <w:r>
              <w:rPr>
                <w:rStyle w:val="Heading3Char"/>
                <w:rFonts w:ascii="Arial" w:hAnsi="Arial"/>
                <w:b/>
                <w:sz w:val="22"/>
                <w:szCs w:val="22"/>
              </w:rPr>
              <w:t>Authenticity of Tender Security</w:t>
            </w:r>
            <w:bookmarkEnd w:id="258"/>
          </w:p>
        </w:tc>
        <w:tc>
          <w:tcPr>
            <w:tcW w:w="7020" w:type="dxa"/>
            <w:gridSpan w:val="3"/>
            <w:tcBorders/>
          </w:tcPr>
          <w:p>
            <w:pPr>
              <w:pStyle w:val="SubClauseText"/>
              <w:widowControl w:val="false"/>
              <w:numPr>
                <w:ilvl w:val="0"/>
                <w:numId w:val="82"/>
              </w:numPr>
              <w:spacing w:before="100" w:after="100"/>
              <w:ind w:left="540" w:hanging="540"/>
              <w:rPr>
                <w:rFonts w:ascii="Arial" w:hAnsi="Arial" w:cs="Arial"/>
                <w:sz w:val="21"/>
                <w:szCs w:val="21"/>
                <w:lang w:val="en-GB"/>
              </w:rPr>
            </w:pPr>
            <w:r>
              <w:rPr>
                <w:rFonts w:cs="Arial" w:ascii="Arial" w:hAnsi="Arial"/>
                <w:sz w:val="22"/>
                <w:szCs w:val="22"/>
                <w:lang w:val="en-GB"/>
              </w:rPr>
              <w:t>The authenticity of the Tender Security submitted by a Tenderer may be examined and verified by the Procuring Entity at its discretion in writing from the Bank issuing the security.</w:t>
            </w:r>
          </w:p>
        </w:tc>
      </w:tr>
      <w:tr>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82"/>
              </w:numPr>
              <w:spacing w:before="100" w:after="100"/>
              <w:ind w:left="590" w:hanging="540"/>
              <w:rPr>
                <w:rFonts w:ascii="Arial" w:hAnsi="Arial" w:cs="Arial"/>
                <w:sz w:val="21"/>
                <w:szCs w:val="21"/>
                <w:lang w:val="en-GB"/>
              </w:rPr>
            </w:pPr>
            <w:r>
              <w:rPr>
                <w:rFonts w:cs="Arial" w:ascii="Arial" w:hAnsi="Arial"/>
                <w:sz w:val="22"/>
                <w:szCs w:val="22"/>
                <w:lang w:val="en-GB"/>
              </w:rPr>
              <w:t xml:space="preserve">If a Tender Security is found to be not authentic, the Procuring Entity may proceed to take measures against that Tenderer as stated under ITT Sub Clause </w:t>
            </w:r>
            <w:r>
              <w:rPr>
                <w:rFonts w:cs="Arial" w:ascii="Arial" w:hAnsi="Arial"/>
                <w:sz w:val="22"/>
                <w:szCs w:val="22"/>
                <w:highlight w:val="yellow"/>
                <w:lang w:val="en-GB"/>
              </w:rPr>
              <w:t>4.4.</w:t>
            </w:r>
          </w:p>
        </w:tc>
      </w:tr>
      <w:tr>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82"/>
              </w:numPr>
              <w:spacing w:before="100" w:after="100"/>
              <w:ind w:left="590" w:hanging="540"/>
              <w:rPr>
                <w:rFonts w:ascii="Arial" w:hAnsi="Arial" w:cs="Arial"/>
                <w:sz w:val="21"/>
                <w:szCs w:val="21"/>
                <w:lang w:val="en-GB"/>
              </w:rPr>
            </w:pPr>
            <w:r>
              <w:rPr>
                <w:rFonts w:cs="Arial" w:ascii="Arial" w:hAnsi="Arial"/>
                <w:sz w:val="22"/>
                <w:szCs w:val="22"/>
                <w:lang w:val="en-GB"/>
              </w:rPr>
              <w:t>A Tender not accompanied by a valid Tender Security will be considered non-responsive.</w:t>
            </w:r>
          </w:p>
        </w:tc>
      </w:tr>
      <w:tr>
        <w:trPr/>
        <w:tc>
          <w:tcPr>
            <w:tcW w:w="2222" w:type="dxa"/>
            <w:vMerge w:val="restart"/>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259" w:name="_Toc421454225"/>
            <w:r>
              <w:rPr>
                <w:rStyle w:val="Heading3Char"/>
                <w:rFonts w:ascii="Arial" w:hAnsi="Arial"/>
                <w:b/>
                <w:sz w:val="22"/>
                <w:szCs w:val="22"/>
              </w:rPr>
              <w:t>Return of Tender Security</w:t>
            </w:r>
            <w:bookmarkEnd w:id="259"/>
          </w:p>
        </w:tc>
        <w:tc>
          <w:tcPr>
            <w:tcW w:w="7020" w:type="dxa"/>
            <w:gridSpan w:val="3"/>
            <w:tcBorders/>
          </w:tcPr>
          <w:p>
            <w:pPr>
              <w:pStyle w:val="SubClauseText"/>
              <w:widowControl w:val="false"/>
              <w:numPr>
                <w:ilvl w:val="0"/>
                <w:numId w:val="83"/>
              </w:numPr>
              <w:spacing w:before="100" w:after="100"/>
              <w:ind w:left="540" w:hanging="540"/>
              <w:rPr>
                <w:rFonts w:ascii="Arial" w:hAnsi="Arial" w:cs="Arial"/>
                <w:sz w:val="21"/>
                <w:szCs w:val="21"/>
                <w:lang w:val="en-GB"/>
              </w:rPr>
            </w:pPr>
            <w:r>
              <w:rPr>
                <w:rFonts w:cs="Arial" w:ascii="Arial" w:hAnsi="Arial"/>
                <w:sz w:val="22"/>
                <w:szCs w:val="22"/>
                <w:lang w:val="en-GB"/>
              </w:rPr>
              <w:t>No Tender Security shall be returned to the Tenderers before contract signing.</w:t>
            </w:r>
          </w:p>
        </w:tc>
      </w:tr>
      <w:tr>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83"/>
              </w:numPr>
              <w:spacing w:before="100" w:after="100"/>
              <w:ind w:left="590" w:hanging="576"/>
              <w:rPr>
                <w:rFonts w:ascii="Arial" w:hAnsi="Arial" w:cs="Arial"/>
                <w:sz w:val="21"/>
                <w:szCs w:val="21"/>
                <w:lang w:val="en-GB"/>
              </w:rPr>
            </w:pPr>
            <w:r>
              <w:rPr>
                <w:rFonts w:cs="Arial" w:ascii="Arial" w:hAnsi="Arial"/>
                <w:bCs/>
                <w:sz w:val="22"/>
                <w:szCs w:val="22"/>
                <w:lang w:val="en-GB"/>
              </w:rPr>
              <w:t xml:space="preserve">Unsuccessful Tenderer’s Tender Security will be discharged or returned as soon as possible but within twenty-eight (28) days after the expiry  of  the Tender Validity period as stated under ITT Sub Clause </w:t>
            </w:r>
            <w:r>
              <w:rPr>
                <w:rFonts w:cs="Arial" w:ascii="Arial" w:hAnsi="Arial"/>
                <w:bCs/>
                <w:sz w:val="22"/>
                <w:szCs w:val="22"/>
                <w:highlight w:val="yellow"/>
                <w:lang w:val="en-GB"/>
              </w:rPr>
              <w:t>29.1</w:t>
            </w:r>
          </w:p>
        </w:tc>
      </w:tr>
      <w:tr>
        <w:trPr/>
        <w:tc>
          <w:tcPr>
            <w:tcW w:w="2222" w:type="dxa"/>
            <w:vMerge w:val="continue"/>
            <w:tcBorders/>
            <w:shd w:color="auto" w:fill="auto" w:val="clear"/>
          </w:tcPr>
          <w:p>
            <w:pPr>
              <w:pStyle w:val="Normal"/>
              <w:widowControl w:val="false"/>
              <w:numPr>
                <w:ilvl w:val="0"/>
                <w:numId w:val="0"/>
              </w:numPr>
              <w:spacing w:before="80" w:after="80"/>
              <w:ind w:left="14" w:hanging="0"/>
              <w:outlineLvl w:val="2"/>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83"/>
              </w:numPr>
              <w:spacing w:before="100" w:after="0"/>
              <w:ind w:left="590" w:hanging="576"/>
              <w:rPr>
                <w:rFonts w:ascii="Arial" w:hAnsi="Arial" w:cs="Arial"/>
                <w:bCs/>
                <w:sz w:val="22"/>
                <w:szCs w:val="22"/>
                <w:lang w:val="en-GB"/>
              </w:rPr>
            </w:pPr>
            <w:r>
              <w:rPr>
                <w:rFonts w:cs="Arial" w:ascii="Arial" w:hAnsi="Arial"/>
                <w:bCs/>
                <w:sz w:val="22"/>
                <w:szCs w:val="22"/>
                <w:lang w:val="en-GB"/>
              </w:rPr>
              <w:t>The Tender Security of the successful Tenderer will be discharged upon the Tenderer’s furnishing of the performance security and signing of the Agreement.</w:t>
            </w:r>
          </w:p>
        </w:tc>
      </w:tr>
      <w:tr>
        <w:trPr/>
        <w:tc>
          <w:tcPr>
            <w:tcW w:w="2222" w:type="dxa"/>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260" w:name="_Toc421454226"/>
            <w:r>
              <w:rPr>
                <w:rStyle w:val="Heading3Char"/>
                <w:rFonts w:ascii="Arial" w:hAnsi="Arial"/>
                <w:b/>
                <w:sz w:val="22"/>
                <w:szCs w:val="22"/>
              </w:rPr>
              <w:t>Forfeiture of Tender Security</w:t>
            </w:r>
            <w:bookmarkEnd w:id="260"/>
          </w:p>
        </w:tc>
        <w:tc>
          <w:tcPr>
            <w:tcW w:w="7020" w:type="dxa"/>
            <w:gridSpan w:val="3"/>
            <w:tcBorders/>
          </w:tcPr>
          <w:p>
            <w:pPr>
              <w:pStyle w:val="Normal"/>
              <w:widowControl w:val="false"/>
              <w:numPr>
                <w:ilvl w:val="0"/>
                <w:numId w:val="84"/>
              </w:numPr>
              <w:spacing w:before="120" w:after="0"/>
              <w:ind w:left="540" w:hanging="540"/>
              <w:rPr>
                <w:rFonts w:ascii="Arial" w:hAnsi="Arial" w:cs="Arial"/>
                <w:sz w:val="21"/>
                <w:szCs w:val="21"/>
              </w:rPr>
            </w:pPr>
            <w:r>
              <w:rPr>
                <w:rFonts w:cs="Arial" w:ascii="Arial" w:hAnsi="Arial"/>
                <w:sz w:val="22"/>
                <w:szCs w:val="22"/>
                <w:lang w:val="en-GB"/>
              </w:rPr>
              <w:t>The Tender Security may be  forfeited, if a Tenderer</w:t>
            </w:r>
            <w:r>
              <w:rPr>
                <w:rFonts w:cs="Arial" w:ascii="Arial" w:hAnsi="Arial"/>
                <w:sz w:val="21"/>
                <w:szCs w:val="21"/>
              </w:rPr>
              <w:t>:</w:t>
            </w:r>
          </w:p>
          <w:p>
            <w:pPr>
              <w:pStyle w:val="Normal"/>
              <w:widowControl w:val="false"/>
              <w:numPr>
                <w:ilvl w:val="1"/>
                <w:numId w:val="16"/>
              </w:numPr>
              <w:tabs>
                <w:tab w:val="clear" w:pos="720"/>
                <w:tab w:val="left" w:pos="1152" w:leader="none"/>
              </w:tabs>
              <w:spacing w:before="120" w:after="120"/>
              <w:ind w:left="1152" w:hanging="605"/>
              <w:jc w:val="both"/>
              <w:rPr>
                <w:rFonts w:ascii="Arial" w:hAnsi="Arial" w:cs="Arial"/>
                <w:sz w:val="22"/>
                <w:szCs w:val="22"/>
              </w:rPr>
            </w:pPr>
            <w:r>
              <w:rPr>
                <w:rFonts w:cs="Arial" w:ascii="Arial" w:hAnsi="Arial"/>
                <w:sz w:val="22"/>
                <w:szCs w:val="22"/>
              </w:rPr>
              <w:t>withdraws its Tender after opening of Tenders but within the validity of the Tender, as stated under ITT Sub Clause 29 and 30; or</w:t>
            </w:r>
          </w:p>
          <w:p>
            <w:pPr>
              <w:pStyle w:val="Normal"/>
              <w:widowControl w:val="false"/>
              <w:numPr>
                <w:ilvl w:val="1"/>
                <w:numId w:val="16"/>
              </w:numPr>
              <w:tabs>
                <w:tab w:val="clear" w:pos="720"/>
                <w:tab w:val="left" w:pos="1152" w:leader="none"/>
              </w:tabs>
              <w:spacing w:before="120" w:after="120"/>
              <w:ind w:left="1152" w:hanging="605"/>
              <w:jc w:val="both"/>
              <w:rPr>
                <w:rFonts w:ascii="Arial" w:hAnsi="Arial" w:cs="Arial"/>
                <w:sz w:val="22"/>
                <w:szCs w:val="22"/>
              </w:rPr>
            </w:pPr>
            <w:r>
              <w:rPr>
                <w:rFonts w:cs="Arial" w:ascii="Arial" w:hAnsi="Arial"/>
                <w:sz w:val="22"/>
                <w:szCs w:val="22"/>
              </w:rPr>
              <w:t>refuses to accept a Notification of Award, as stated under ITT Sub Clause 61.3</w:t>
            </w:r>
            <w:r>
              <w:fldChar w:fldCharType="begin"/>
            </w:r>
            <w:r>
              <w:rPr>
                <w:sz w:val="22"/>
                <w:szCs w:val="22"/>
                <w:rFonts w:cs="Arial" w:ascii="Arial" w:hAnsi="Arial"/>
              </w:rPr>
              <w:instrText> XE "Contract award: : " </w:instrText>
            </w:r>
            <w:r>
              <w:rPr>
                <w:sz w:val="22"/>
                <w:szCs w:val="22"/>
                <w:rFonts w:cs="Arial" w:ascii="Arial" w:hAnsi="Arial"/>
              </w:rPr>
              <w:fldChar w:fldCharType="separate"/>
            </w:r>
            <w:r>
              <w:rPr>
                <w:rFonts w:cs="Arial" w:ascii="Arial" w:hAnsi="Arial"/>
                <w:sz w:val="22"/>
                <w:szCs w:val="22"/>
              </w:rPr>
            </w:r>
            <w:r>
              <w:rPr>
                <w:sz w:val="22"/>
                <w:szCs w:val="22"/>
                <w:rFonts w:cs="Arial" w:ascii="Arial" w:hAnsi="Arial"/>
              </w:rPr>
              <w:fldChar w:fldCharType="end"/>
            </w:r>
            <w:r>
              <w:rPr>
                <w:rFonts w:cs="Arial" w:ascii="Arial" w:hAnsi="Arial"/>
                <w:sz w:val="22"/>
                <w:szCs w:val="22"/>
              </w:rPr>
              <w:t>; or</w:t>
            </w:r>
          </w:p>
          <w:p>
            <w:pPr>
              <w:pStyle w:val="Normal"/>
              <w:widowControl w:val="false"/>
              <w:numPr>
                <w:ilvl w:val="1"/>
                <w:numId w:val="16"/>
              </w:numPr>
              <w:tabs>
                <w:tab w:val="clear" w:pos="720"/>
                <w:tab w:val="left" w:pos="1152" w:leader="none"/>
              </w:tabs>
              <w:spacing w:before="120" w:after="120"/>
              <w:ind w:left="1152" w:hanging="603"/>
              <w:jc w:val="both"/>
              <w:rPr>
                <w:rFonts w:ascii="Arial" w:hAnsi="Arial" w:cs="Arial"/>
                <w:sz w:val="22"/>
                <w:szCs w:val="22"/>
              </w:rPr>
            </w:pPr>
            <w:r>
              <w:rPr>
                <w:rFonts w:cs="Arial" w:ascii="Arial" w:hAnsi="Arial"/>
                <w:sz w:val="22"/>
                <w:szCs w:val="22"/>
              </w:rPr>
              <w:t>fails to furnish performance security, as stated under ITT Sub Clause 62.1; or</w:t>
            </w:r>
          </w:p>
          <w:p>
            <w:pPr>
              <w:pStyle w:val="Normal"/>
              <w:widowControl w:val="false"/>
              <w:numPr>
                <w:ilvl w:val="1"/>
                <w:numId w:val="16"/>
              </w:numPr>
              <w:tabs>
                <w:tab w:val="clear" w:pos="720"/>
                <w:tab w:val="left" w:pos="1152" w:leader="none"/>
              </w:tabs>
              <w:spacing w:before="120" w:after="120"/>
              <w:ind w:left="1152" w:hanging="603"/>
              <w:jc w:val="both"/>
              <w:rPr>
                <w:rFonts w:ascii="Arial" w:hAnsi="Arial" w:cs="Arial"/>
                <w:sz w:val="22"/>
                <w:szCs w:val="22"/>
              </w:rPr>
            </w:pPr>
            <w:r>
              <w:rPr>
                <w:rFonts w:cs="Arial" w:ascii="Arial" w:hAnsi="Arial"/>
                <w:sz w:val="22"/>
                <w:szCs w:val="22"/>
              </w:rPr>
              <w:t>refuses to sign the Contract, as stated under ITT Sub Clause 67.2; or</w:t>
            </w:r>
          </w:p>
          <w:p>
            <w:pPr>
              <w:pStyle w:val="Normal"/>
              <w:widowControl w:val="false"/>
              <w:numPr>
                <w:ilvl w:val="1"/>
                <w:numId w:val="16"/>
              </w:numPr>
              <w:tabs>
                <w:tab w:val="clear" w:pos="720"/>
                <w:tab w:val="left" w:pos="1152" w:leader="none"/>
              </w:tabs>
              <w:spacing w:before="120" w:after="120"/>
              <w:ind w:left="1152" w:hanging="603"/>
              <w:jc w:val="both"/>
              <w:rPr>
                <w:rFonts w:ascii="Arial" w:hAnsi="Arial" w:cs="Arial"/>
                <w:sz w:val="21"/>
                <w:szCs w:val="21"/>
              </w:rPr>
            </w:pPr>
            <w:r>
              <w:rPr>
                <w:rFonts w:cs="Arial" w:ascii="Arial" w:hAnsi="Arial"/>
                <w:sz w:val="22"/>
                <w:szCs w:val="22"/>
              </w:rPr>
              <w:t>does not accept the correction of the Tender price following the correction of arithmetic errors, as stated under ITT Sub Clause 51</w:t>
            </w:r>
            <w:r>
              <w:rPr>
                <w:rFonts w:cs="Arial" w:ascii="Arial" w:hAnsi="Arial"/>
                <w:sz w:val="22"/>
                <w:szCs w:val="22"/>
                <w:highlight w:val="yellow"/>
              </w:rPr>
              <w:t>.</w:t>
            </w:r>
          </w:p>
        </w:tc>
      </w:tr>
      <w:tr>
        <w:trPr/>
        <w:tc>
          <w:tcPr>
            <w:tcW w:w="2222" w:type="dxa"/>
            <w:vMerge w:val="restart"/>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261" w:name="_Toc421454227"/>
            <w:r>
              <w:rPr>
                <w:rStyle w:val="Heading3Char"/>
                <w:rFonts w:ascii="Arial" w:hAnsi="Arial"/>
                <w:b/>
                <w:sz w:val="22"/>
                <w:szCs w:val="22"/>
              </w:rPr>
              <w:t>Format and Signing of Tender</w:t>
            </w:r>
            <w:bookmarkEnd w:id="261"/>
          </w:p>
        </w:tc>
        <w:tc>
          <w:tcPr>
            <w:tcW w:w="7020" w:type="dxa"/>
            <w:gridSpan w:val="3"/>
            <w:tcBorders/>
          </w:tcPr>
          <w:p>
            <w:pPr>
              <w:pStyle w:val="SubClauseText"/>
              <w:widowControl w:val="false"/>
              <w:numPr>
                <w:ilvl w:val="0"/>
                <w:numId w:val="45"/>
              </w:numPr>
              <w:tabs>
                <w:tab w:val="clear" w:pos="720"/>
                <w:tab w:val="left" w:pos="612" w:leader="none"/>
              </w:tabs>
              <w:spacing w:before="120" w:after="120"/>
              <w:ind w:left="612" w:hanging="720"/>
              <w:rPr>
                <w:rFonts w:ascii="Arial" w:hAnsi="Arial" w:cs="Arial"/>
                <w:sz w:val="22"/>
                <w:szCs w:val="22"/>
                <w:lang w:val="en-GB"/>
              </w:rPr>
            </w:pPr>
            <w:r>
              <w:rPr>
                <w:rFonts w:cs="Arial" w:ascii="Arial" w:hAnsi="Arial"/>
                <w:sz w:val="22"/>
                <w:szCs w:val="22"/>
                <w:lang w:val="en-GB"/>
              </w:rPr>
              <w:t xml:space="preserve">Tenderers shall prepare one (1) original of the documents comprising the Tender as described in ITT Clause 21 and clearly mark it “ORIGINAL”. In addition, the Tenderer shall prepare the number of copies of the Tender, as specified in the </w:t>
            </w:r>
            <w:r>
              <w:rPr>
                <w:rFonts w:cs="Arial" w:ascii="Arial" w:hAnsi="Arial"/>
                <w:b/>
                <w:sz w:val="22"/>
                <w:szCs w:val="22"/>
                <w:lang w:val="en-GB"/>
              </w:rPr>
              <w:t>TDS</w:t>
            </w:r>
            <w:r>
              <w:rPr>
                <w:rFonts w:cs="Arial" w:ascii="Arial" w:hAnsi="Arial"/>
                <w:sz w:val="22"/>
                <w:szCs w:val="22"/>
                <w:lang w:val="en-GB"/>
              </w:rPr>
              <w:t xml:space="preserve"> and clearly mark each of them “COPY”. In the event of any discrepancy between the original and the copies, the original shall prevail.</w:t>
            </w:r>
          </w:p>
        </w:tc>
      </w:tr>
      <w:tr>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45"/>
              </w:numPr>
              <w:tabs>
                <w:tab w:val="clear" w:pos="720"/>
                <w:tab w:val="left" w:pos="549" w:leader="none"/>
              </w:tabs>
              <w:spacing w:before="120" w:after="120"/>
              <w:ind w:left="585" w:hanging="693"/>
              <w:rPr>
                <w:rFonts w:ascii="Arial" w:hAnsi="Arial" w:cs="Arial"/>
                <w:sz w:val="22"/>
                <w:szCs w:val="22"/>
                <w:lang w:val="en-GB"/>
              </w:rPr>
            </w:pPr>
            <w:r>
              <w:rPr>
                <w:rFonts w:cs="Arial" w:ascii="Arial" w:hAnsi="Arial"/>
                <w:sz w:val="22"/>
                <w:szCs w:val="22"/>
                <w:lang w:val="en-GB"/>
              </w:rPr>
              <w:t>Alternatives, if permitted under ITT Clause 23, shall be clearly marked “Alternative”.</w:t>
            </w:r>
          </w:p>
        </w:tc>
      </w:tr>
      <w:tr>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45"/>
              </w:numPr>
              <w:tabs>
                <w:tab w:val="clear" w:pos="720"/>
                <w:tab w:val="left" w:pos="567" w:leader="none"/>
              </w:tabs>
              <w:spacing w:before="120" w:after="120"/>
              <w:ind w:left="585" w:hanging="693"/>
              <w:rPr>
                <w:rFonts w:ascii="Arial" w:hAnsi="Arial" w:cs="Arial"/>
                <w:sz w:val="22"/>
                <w:szCs w:val="22"/>
                <w:lang w:val="en-GB"/>
              </w:rPr>
            </w:pPr>
            <w:r>
              <w:rPr>
                <w:rFonts w:cs="Arial" w:ascii="Arial" w:hAnsi="Arial"/>
                <w:sz w:val="22"/>
                <w:szCs w:val="22"/>
                <w:lang w:val="en-GB"/>
              </w:rPr>
              <w:t>The original and each copy of the Tender shall be typed or written in indelible ink and shall be signed by the Person duly authorized to sign on behalf of the Tenderer. This Tender specific authorization shall be attached to the Tender Submission Letter (</w:t>
            </w:r>
            <w:r>
              <w:rPr>
                <w:rFonts w:cs="Arial" w:ascii="Arial" w:hAnsi="Arial"/>
                <w:b/>
                <w:sz w:val="22"/>
                <w:szCs w:val="22"/>
                <w:lang w:val="en-GB"/>
              </w:rPr>
              <w:t>Form PG3-1</w:t>
            </w:r>
            <w:r>
              <w:rPr>
                <w:rFonts w:cs="Arial" w:ascii="Arial" w:hAnsi="Arial"/>
                <w:sz w:val="22"/>
                <w:szCs w:val="22"/>
                <w:lang w:val="en-GB"/>
              </w:rPr>
              <w:t>). The name and position held by each Person(s) signing the authorization must be typed or printed below the signature. All pages of the original and of each copy of the Tender, except for un-amended printed literature, shall be numbered sequentially and signed by the person signing the Tender.</w:t>
            </w:r>
          </w:p>
        </w:tc>
      </w:tr>
      <w:tr>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45"/>
              </w:numPr>
              <w:tabs>
                <w:tab w:val="clear" w:pos="720"/>
                <w:tab w:val="left" w:pos="567" w:leader="none"/>
              </w:tabs>
              <w:spacing w:before="120" w:after="120"/>
              <w:ind w:left="585" w:hanging="693"/>
              <w:rPr>
                <w:rFonts w:ascii="Arial" w:hAnsi="Arial" w:cs="Arial"/>
                <w:sz w:val="21"/>
                <w:szCs w:val="21"/>
                <w:lang w:val="en-GB"/>
              </w:rPr>
            </w:pPr>
            <w:r>
              <w:rPr>
                <w:rFonts w:cs="Arial" w:ascii="Arial" w:hAnsi="Arial"/>
                <w:sz w:val="21"/>
                <w:szCs w:val="21"/>
                <w:lang w:val="en-GB"/>
              </w:rPr>
              <w:t>Any interlineations, erasures, or overwriting shall be valid only if they are signed or initialled by the Person(s) signing the Tender.</w:t>
            </w:r>
          </w:p>
        </w:tc>
      </w:tr>
      <w:tr>
        <w:trPr/>
        <w:tc>
          <w:tcPr>
            <w:tcW w:w="9242" w:type="dxa"/>
            <w:gridSpan w:val="4"/>
            <w:tcBorders/>
            <w:shd w:color="auto" w:fill="auto" w:val="clear"/>
          </w:tcPr>
          <w:p>
            <w:pPr>
              <w:pStyle w:val="Heading2"/>
              <w:widowControl w:val="false"/>
              <w:spacing w:before="120" w:after="120"/>
              <w:rPr>
                <w:rFonts w:ascii="Arial" w:hAnsi="Arial"/>
                <w:sz w:val="32"/>
                <w:szCs w:val="32"/>
                <w:lang w:val="en-GB"/>
              </w:rPr>
            </w:pPr>
            <w:bookmarkStart w:id="262" w:name="_Toc421454228"/>
            <w:r>
              <w:rPr>
                <w:rFonts w:ascii="Arial" w:hAnsi="Arial"/>
                <w:sz w:val="32"/>
                <w:szCs w:val="32"/>
                <w:lang w:val="en-GB"/>
              </w:rPr>
              <w:t>E.</w:t>
              <w:tab/>
              <w:t>Tender Submission</w:t>
            </w:r>
            <w:bookmarkEnd w:id="262"/>
          </w:p>
        </w:tc>
      </w:tr>
      <w:tr>
        <w:trPr/>
        <w:tc>
          <w:tcPr>
            <w:tcW w:w="2222" w:type="dxa"/>
            <w:vMerge w:val="restart"/>
            <w:tcBorders/>
            <w:shd w:color="auto" w:fill="auto" w:val="clear"/>
          </w:tcPr>
          <w:p>
            <w:pPr>
              <w:pStyle w:val="Normal"/>
              <w:widowControl w:val="false"/>
              <w:numPr>
                <w:ilvl w:val="0"/>
                <w:numId w:val="31"/>
              </w:numPr>
              <w:spacing w:before="80" w:after="80"/>
              <w:ind w:left="360" w:hanging="346"/>
              <w:outlineLvl w:val="2"/>
              <w:rPr>
                <w:rFonts w:ascii="Arial" w:hAnsi="Arial" w:cs="Arial"/>
                <w:sz w:val="21"/>
                <w:szCs w:val="21"/>
                <w:lang w:val="en-GB"/>
              </w:rPr>
            </w:pPr>
            <w:bookmarkStart w:id="263" w:name="_Toc421454229"/>
            <w:r>
              <w:rPr>
                <w:rStyle w:val="Heading3Char"/>
                <w:rFonts w:ascii="Arial" w:hAnsi="Arial"/>
                <w:b/>
                <w:sz w:val="22"/>
                <w:szCs w:val="22"/>
              </w:rPr>
              <w:t>Sealing, Marking and Submission of Tender</w:t>
            </w:r>
            <w:bookmarkEnd w:id="263"/>
          </w:p>
        </w:tc>
        <w:tc>
          <w:tcPr>
            <w:tcW w:w="7020" w:type="dxa"/>
            <w:gridSpan w:val="3"/>
            <w:tcBorders/>
          </w:tcPr>
          <w:p>
            <w:pPr>
              <w:pStyle w:val="SubClauseText"/>
              <w:widowControl w:val="false"/>
              <w:numPr>
                <w:ilvl w:val="0"/>
                <w:numId w:val="141"/>
              </w:numPr>
              <w:tabs>
                <w:tab w:val="clear" w:pos="720"/>
                <w:tab w:val="left" w:pos="585" w:leader="none"/>
              </w:tabs>
              <w:spacing w:before="120" w:after="120"/>
              <w:ind w:left="567" w:hanging="675"/>
              <w:rPr>
                <w:rFonts w:ascii="Arial" w:hAnsi="Arial" w:cs="Arial"/>
                <w:sz w:val="21"/>
                <w:szCs w:val="21"/>
                <w:lang w:val="en-GB"/>
              </w:rPr>
            </w:pPr>
            <w:r>
              <w:rPr>
                <w:rFonts w:cs="Arial" w:ascii="Arial" w:hAnsi="Arial"/>
                <w:bCs/>
                <w:sz w:val="22"/>
                <w:szCs w:val="22"/>
                <w:lang w:val="en-GB"/>
              </w:rPr>
              <w:t>Tenderer shall enclose the original in one (1) envelope and all the copies of the Tender, including the alternative , if permitted under ITT Clause 23 in another envelope, duly marking the envelopes as “ORIGINAL (O)” “ALTERNATIVE (A)” (if permitted) and “COPY.” These sealed envelopes will then be enclosed and sealed in one (1) single outer envelope.</w:t>
            </w:r>
          </w:p>
        </w:tc>
      </w:tr>
      <w:tr>
        <w:trPr/>
        <w:tc>
          <w:tcPr>
            <w:tcW w:w="2222" w:type="dxa"/>
            <w:vMerge w:val="continue"/>
            <w:tcBorders/>
            <w:shd w:color="auto" w:fill="auto" w:val="clear"/>
          </w:tcPr>
          <w:p>
            <w:pPr>
              <w:pStyle w:val="Normal"/>
              <w:widowControl w:val="false"/>
              <w:numPr>
                <w:ilvl w:val="0"/>
                <w:numId w:val="0"/>
              </w:numPr>
              <w:spacing w:before="80" w:after="80"/>
              <w:ind w:left="14" w:hanging="0"/>
              <w:outlineLvl w:val="2"/>
              <w:rPr>
                <w:rStyle w:val="Heading3Char"/>
                <w:rFonts w:ascii="Arial" w:hAnsi="Arial"/>
                <w:b/>
                <w:b/>
                <w:sz w:val="22"/>
                <w:szCs w:val="22"/>
              </w:rPr>
            </w:pPr>
            <w:r>
              <w:rPr>
                <w:rFonts w:ascii="Arial" w:hAnsi="Arial"/>
                <w:b/>
                <w:sz w:val="22"/>
                <w:szCs w:val="22"/>
              </w:rPr>
            </w:r>
          </w:p>
        </w:tc>
        <w:tc>
          <w:tcPr>
            <w:tcW w:w="7020" w:type="dxa"/>
            <w:gridSpan w:val="3"/>
            <w:tcBorders/>
          </w:tcPr>
          <w:p>
            <w:pPr>
              <w:pStyle w:val="SubClauseText"/>
              <w:widowControl w:val="false"/>
              <w:numPr>
                <w:ilvl w:val="0"/>
                <w:numId w:val="141"/>
              </w:numPr>
              <w:tabs>
                <w:tab w:val="clear" w:pos="720"/>
                <w:tab w:val="left" w:pos="585" w:leader="none"/>
              </w:tabs>
              <w:spacing w:before="120" w:after="120"/>
              <w:ind w:left="567" w:hanging="675"/>
              <w:rPr>
                <w:rFonts w:ascii="Arial" w:hAnsi="Arial" w:cs="Arial"/>
                <w:bCs/>
                <w:sz w:val="22"/>
                <w:szCs w:val="22"/>
                <w:lang w:val="en-GB"/>
              </w:rPr>
            </w:pPr>
            <w:r>
              <w:rPr>
                <w:rFonts w:cs="Arial" w:ascii="Arial" w:hAnsi="Arial"/>
                <w:sz w:val="22"/>
                <w:szCs w:val="22"/>
              </w:rPr>
              <w:t>The inner and outer envelopes shall:</w:t>
            </w:r>
          </w:p>
          <w:p>
            <w:pPr>
              <w:pStyle w:val="SubClauseText"/>
              <w:widowControl w:val="false"/>
              <w:numPr>
                <w:ilvl w:val="0"/>
                <w:numId w:val="42"/>
              </w:numPr>
              <w:tabs>
                <w:tab w:val="clear" w:pos="720"/>
                <w:tab w:val="left" w:pos="585" w:leader="none"/>
                <w:tab w:val="left" w:pos="1197" w:leader="none"/>
              </w:tabs>
              <w:ind w:left="567" w:hanging="675"/>
              <w:rPr>
                <w:rFonts w:ascii="Arial" w:hAnsi="Arial" w:cs="Arial"/>
                <w:sz w:val="22"/>
                <w:szCs w:val="22"/>
              </w:rPr>
            </w:pPr>
            <w:r>
              <w:rPr>
                <w:rFonts w:cs="Arial" w:ascii="Arial" w:hAnsi="Arial"/>
                <w:sz w:val="22"/>
                <w:szCs w:val="22"/>
              </w:rPr>
              <w:t>be addressed to the Procuring Entity as stated under ITT Sub Clause 38.1;</w:t>
            </w:r>
          </w:p>
          <w:p>
            <w:pPr>
              <w:pStyle w:val="SubClauseText"/>
              <w:widowControl w:val="false"/>
              <w:numPr>
                <w:ilvl w:val="0"/>
                <w:numId w:val="42"/>
              </w:numPr>
              <w:tabs>
                <w:tab w:val="clear" w:pos="720"/>
                <w:tab w:val="left" w:pos="585" w:leader="none"/>
                <w:tab w:val="left" w:pos="1197" w:leader="none"/>
              </w:tabs>
              <w:ind w:left="567" w:hanging="675"/>
              <w:rPr>
                <w:rFonts w:ascii="Arial" w:hAnsi="Arial" w:cs="Arial"/>
                <w:sz w:val="22"/>
                <w:szCs w:val="22"/>
                <w:lang w:val="en-GB"/>
              </w:rPr>
            </w:pPr>
            <w:r>
              <w:rPr>
                <w:rFonts w:cs="Arial" w:ascii="Arial" w:hAnsi="Arial"/>
                <w:sz w:val="22"/>
                <w:szCs w:val="22"/>
                <w:lang w:val="en-GB"/>
              </w:rPr>
              <w:t>bear the name of the Tender and the Tender Number as stated under ITT Sub Clause 1.1;</w:t>
            </w:r>
          </w:p>
          <w:p>
            <w:pPr>
              <w:pStyle w:val="SubClauseText"/>
              <w:widowControl w:val="false"/>
              <w:numPr>
                <w:ilvl w:val="0"/>
                <w:numId w:val="42"/>
              </w:numPr>
              <w:tabs>
                <w:tab w:val="clear" w:pos="720"/>
                <w:tab w:val="left" w:pos="585" w:leader="none"/>
                <w:tab w:val="left" w:pos="1197" w:leader="none"/>
              </w:tabs>
              <w:ind w:left="567" w:hanging="675"/>
              <w:rPr>
                <w:rFonts w:ascii="Arial" w:hAnsi="Arial" w:cs="Arial"/>
                <w:sz w:val="22"/>
                <w:szCs w:val="22"/>
              </w:rPr>
            </w:pPr>
            <w:r>
              <w:rPr>
                <w:rFonts w:cs="Arial" w:ascii="Arial" w:hAnsi="Arial"/>
                <w:sz w:val="22"/>
                <w:szCs w:val="22"/>
                <w:lang w:val="en-GB"/>
              </w:rPr>
              <w:t>bear the name and address of the Tenderer;</w:t>
            </w:r>
          </w:p>
          <w:p>
            <w:pPr>
              <w:pStyle w:val="SubClauseText"/>
              <w:widowControl w:val="false"/>
              <w:numPr>
                <w:ilvl w:val="0"/>
                <w:numId w:val="42"/>
              </w:numPr>
              <w:tabs>
                <w:tab w:val="clear" w:pos="720"/>
                <w:tab w:val="left" w:pos="585" w:leader="none"/>
                <w:tab w:val="left" w:pos="1197" w:leader="none"/>
              </w:tabs>
              <w:spacing w:before="120" w:after="0"/>
              <w:ind w:left="567" w:hanging="675"/>
              <w:rPr>
                <w:rFonts w:ascii="Arial" w:hAnsi="Arial" w:cs="Arial"/>
                <w:bCs/>
                <w:sz w:val="22"/>
                <w:szCs w:val="22"/>
                <w:lang w:val="en-GB"/>
              </w:rPr>
            </w:pPr>
            <w:r>
              <w:rPr>
                <w:rFonts w:cs="Arial" w:ascii="Arial" w:hAnsi="Arial"/>
                <w:sz w:val="22"/>
                <w:szCs w:val="22"/>
              </w:rPr>
              <w:t>bear a statement “DO NOT OPEN BEFORE…” the time    and date for Tender opening, as stated under ITT Sub Clause 44.1</w:t>
            </w:r>
          </w:p>
          <w:p>
            <w:pPr>
              <w:pStyle w:val="SubClauseText"/>
              <w:widowControl w:val="false"/>
              <w:numPr>
                <w:ilvl w:val="0"/>
                <w:numId w:val="42"/>
              </w:numPr>
              <w:tabs>
                <w:tab w:val="clear" w:pos="720"/>
                <w:tab w:val="left" w:pos="585" w:leader="none"/>
                <w:tab w:val="left" w:pos="1197" w:leader="none"/>
              </w:tabs>
              <w:spacing w:before="120" w:after="0"/>
              <w:ind w:left="567" w:hanging="675"/>
              <w:rPr>
                <w:rFonts w:ascii="Arial" w:hAnsi="Arial" w:cs="Arial"/>
                <w:bCs/>
                <w:sz w:val="22"/>
                <w:szCs w:val="22"/>
                <w:lang w:val="en-GB"/>
              </w:rPr>
            </w:pPr>
            <w:r>
              <w:rPr>
                <w:rFonts w:cs="Arial" w:ascii="Arial" w:hAnsi="Arial"/>
                <w:sz w:val="22"/>
                <w:szCs w:val="22"/>
                <w:lang w:val="en-GB"/>
              </w:rPr>
              <w:t xml:space="preserve">bear any additional identification marks as specified in the </w:t>
            </w:r>
            <w:r>
              <w:rPr>
                <w:rFonts w:cs="Arial" w:ascii="Arial" w:hAnsi="Arial"/>
                <w:b/>
                <w:sz w:val="22"/>
                <w:szCs w:val="22"/>
                <w:lang w:val="en-GB"/>
              </w:rPr>
              <w:t>TDS</w:t>
            </w:r>
          </w:p>
        </w:tc>
      </w:tr>
      <w:tr>
        <w:trPr/>
        <w:tc>
          <w:tcPr>
            <w:tcW w:w="2222" w:type="dxa"/>
            <w:vMerge w:val="restart"/>
            <w:tcBorders/>
            <w:shd w:color="auto" w:fill="auto" w:val="clear"/>
          </w:tcPr>
          <w:p>
            <w:pPr>
              <w:pStyle w:val="Normal"/>
              <w:widowControl w:val="false"/>
              <w:numPr>
                <w:ilvl w:val="0"/>
                <w:numId w:val="0"/>
              </w:numPr>
              <w:spacing w:before="80" w:after="80"/>
              <w:ind w:left="14" w:hanging="0"/>
              <w:outlineLvl w:val="2"/>
              <w:rPr>
                <w:rStyle w:val="Heading3Char"/>
                <w:rFonts w:ascii="Arial" w:hAnsi="Arial"/>
                <w:b/>
                <w:b/>
                <w:sz w:val="22"/>
                <w:szCs w:val="22"/>
              </w:rPr>
            </w:pPr>
            <w:r>
              <w:rPr>
                <w:rFonts w:ascii="Arial" w:hAnsi="Arial"/>
                <w:b/>
                <w:sz w:val="22"/>
                <w:szCs w:val="22"/>
              </w:rPr>
            </w:r>
          </w:p>
        </w:tc>
        <w:tc>
          <w:tcPr>
            <w:tcW w:w="7020" w:type="dxa"/>
            <w:gridSpan w:val="3"/>
            <w:tcBorders/>
          </w:tcPr>
          <w:p>
            <w:pPr>
              <w:pStyle w:val="SubClauseText"/>
              <w:widowControl w:val="false"/>
              <w:numPr>
                <w:ilvl w:val="0"/>
                <w:numId w:val="141"/>
              </w:numPr>
              <w:tabs>
                <w:tab w:val="clear" w:pos="720"/>
                <w:tab w:val="left" w:pos="522" w:leader="none"/>
              </w:tabs>
              <w:spacing w:before="80" w:after="80"/>
              <w:ind w:left="522" w:hanging="522"/>
              <w:rPr>
                <w:rFonts w:ascii="Arial" w:hAnsi="Arial" w:cs="Arial"/>
                <w:sz w:val="22"/>
                <w:szCs w:val="22"/>
              </w:rPr>
            </w:pPr>
            <w:r>
              <w:rPr>
                <w:rFonts w:cs="Arial" w:ascii="Arial" w:hAnsi="Arial"/>
                <w:sz w:val="22"/>
                <w:szCs w:val="22"/>
              </w:rPr>
              <w:t>Tenderer sare solely and entirely responsible for pre-disclosure of Tender information if the envelope(s) are not properly sealed and marked.</w:t>
            </w:r>
          </w:p>
        </w:tc>
      </w:tr>
      <w:tr>
        <w:trPr/>
        <w:tc>
          <w:tcPr>
            <w:tcW w:w="2222" w:type="dxa"/>
            <w:vMerge w:val="continue"/>
            <w:tcBorders/>
            <w:shd w:color="auto" w:fill="auto" w:val="clear"/>
          </w:tcPr>
          <w:p>
            <w:pPr>
              <w:pStyle w:val="Normal"/>
              <w:widowControl w:val="false"/>
              <w:numPr>
                <w:ilvl w:val="0"/>
                <w:numId w:val="0"/>
              </w:numPr>
              <w:spacing w:before="80" w:after="80"/>
              <w:ind w:left="14" w:hanging="0"/>
              <w:outlineLvl w:val="2"/>
              <w:rPr>
                <w:rStyle w:val="Heading3Char"/>
                <w:rFonts w:ascii="Arial" w:hAnsi="Arial"/>
                <w:b/>
                <w:b/>
                <w:sz w:val="22"/>
                <w:szCs w:val="22"/>
              </w:rPr>
            </w:pPr>
            <w:r>
              <w:rPr>
                <w:rFonts w:ascii="Arial" w:hAnsi="Arial"/>
                <w:b/>
                <w:sz w:val="22"/>
                <w:szCs w:val="22"/>
              </w:rPr>
            </w:r>
          </w:p>
        </w:tc>
        <w:tc>
          <w:tcPr>
            <w:tcW w:w="7020" w:type="dxa"/>
            <w:gridSpan w:val="3"/>
            <w:tcBorders/>
          </w:tcPr>
          <w:p>
            <w:pPr>
              <w:pStyle w:val="SubClauseText"/>
              <w:widowControl w:val="false"/>
              <w:numPr>
                <w:ilvl w:val="0"/>
                <w:numId w:val="141"/>
              </w:numPr>
              <w:tabs>
                <w:tab w:val="clear" w:pos="720"/>
                <w:tab w:val="left" w:pos="522" w:leader="none"/>
              </w:tabs>
              <w:spacing w:before="80" w:after="80"/>
              <w:ind w:left="522" w:hanging="522"/>
              <w:rPr>
                <w:rFonts w:ascii="Arial" w:hAnsi="Arial" w:cs="Arial"/>
                <w:sz w:val="22"/>
                <w:szCs w:val="22"/>
              </w:rPr>
            </w:pPr>
            <w:r>
              <w:rPr>
                <w:rFonts w:cs="Arial" w:ascii="Arial" w:hAnsi="Arial"/>
                <w:sz w:val="22"/>
                <w:szCs w:val="22"/>
              </w:rPr>
              <w:t>Tenders shall be delivered by hand or by mail, including courier services to location as designated in the ITT Sub Clause 38.1.</w:t>
            </w:r>
          </w:p>
        </w:tc>
      </w:tr>
      <w:tr>
        <w:trPr/>
        <w:tc>
          <w:tcPr>
            <w:tcW w:w="2222" w:type="dxa"/>
            <w:vMerge w:val="continue"/>
            <w:tcBorders/>
            <w:shd w:color="auto" w:fill="auto" w:val="clear"/>
          </w:tcPr>
          <w:p>
            <w:pPr>
              <w:pStyle w:val="Normal"/>
              <w:widowControl w:val="false"/>
              <w:numPr>
                <w:ilvl w:val="0"/>
                <w:numId w:val="0"/>
              </w:numPr>
              <w:spacing w:before="80" w:after="80"/>
              <w:ind w:left="14" w:hanging="0"/>
              <w:outlineLvl w:val="2"/>
              <w:rPr>
                <w:rStyle w:val="Heading3Char"/>
                <w:rFonts w:ascii="Arial" w:hAnsi="Arial"/>
                <w:b/>
                <w:b/>
                <w:sz w:val="22"/>
                <w:szCs w:val="22"/>
              </w:rPr>
            </w:pPr>
            <w:r>
              <w:rPr>
                <w:rFonts w:ascii="Arial" w:hAnsi="Arial"/>
                <w:b/>
                <w:sz w:val="22"/>
                <w:szCs w:val="22"/>
              </w:rPr>
            </w:r>
          </w:p>
        </w:tc>
        <w:tc>
          <w:tcPr>
            <w:tcW w:w="7020" w:type="dxa"/>
            <w:gridSpan w:val="3"/>
            <w:tcBorders/>
          </w:tcPr>
          <w:p>
            <w:pPr>
              <w:pStyle w:val="SubClauseText"/>
              <w:widowControl w:val="false"/>
              <w:numPr>
                <w:ilvl w:val="0"/>
                <w:numId w:val="141"/>
              </w:numPr>
              <w:tabs>
                <w:tab w:val="clear" w:pos="720"/>
                <w:tab w:val="left" w:pos="522" w:leader="none"/>
              </w:tabs>
              <w:spacing w:before="80" w:after="80"/>
              <w:ind w:left="522" w:hanging="522"/>
              <w:rPr>
                <w:rFonts w:ascii="Arial" w:hAnsi="Arial" w:cs="Arial"/>
                <w:sz w:val="22"/>
                <w:szCs w:val="22"/>
              </w:rPr>
            </w:pPr>
            <w:r>
              <w:rPr>
                <w:rFonts w:cs="Arial" w:ascii="Arial" w:hAnsi="Arial"/>
                <w:sz w:val="22"/>
                <w:szCs w:val="22"/>
              </w:rPr>
              <w:t>The Procuring Entity will, on request, provide the Tenderer with a receipt showing the date and time when it’s Tender was received.</w:t>
            </w:r>
          </w:p>
        </w:tc>
      </w:tr>
      <w:tr>
        <w:trPr>
          <w:trHeight w:val="963" w:hRule="atLeast"/>
        </w:trPr>
        <w:tc>
          <w:tcPr>
            <w:tcW w:w="2222" w:type="dxa"/>
            <w:vMerge w:val="restart"/>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264" w:name="_Toc49591702"/>
            <w:bookmarkStart w:id="265" w:name="_Toc438907028"/>
            <w:bookmarkStart w:id="266" w:name="_Toc438907227"/>
            <w:bookmarkStart w:id="267" w:name="_Toc421454230"/>
            <w:bookmarkStart w:id="268" w:name="_Toc424009124"/>
            <w:bookmarkStart w:id="269" w:name="_Toc438438846"/>
            <w:bookmarkStart w:id="270" w:name="_Toc438532618"/>
            <w:bookmarkStart w:id="271" w:name="_Toc438733990"/>
            <w:bookmarkStart w:id="272" w:name="_Toc49504775"/>
            <w:bookmarkStart w:id="273" w:name="_Toc49569792"/>
            <w:bookmarkStart w:id="274" w:name="_Toc49591354"/>
            <w:bookmarkStart w:id="275" w:name="_Toc37047298"/>
            <w:bookmarkStart w:id="276" w:name="_Toc49504222"/>
            <w:bookmarkStart w:id="277" w:name="_Toc49504656"/>
            <w:r>
              <w:rPr>
                <w:rStyle w:val="Heading3Char"/>
                <w:rFonts w:ascii="Arial" w:hAnsi="Arial"/>
                <w:b/>
                <w:sz w:val="22"/>
                <w:szCs w:val="22"/>
              </w:rPr>
              <w:t>Deadline for Submission of Tenders</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tc>
        <w:tc>
          <w:tcPr>
            <w:tcW w:w="7020" w:type="dxa"/>
            <w:gridSpan w:val="3"/>
            <w:tcBorders/>
          </w:tcPr>
          <w:p>
            <w:pPr>
              <w:pStyle w:val="SubClauseText"/>
              <w:widowControl w:val="false"/>
              <w:numPr>
                <w:ilvl w:val="0"/>
                <w:numId w:val="85"/>
              </w:numPr>
              <w:tabs>
                <w:tab w:val="clear" w:pos="720"/>
                <w:tab w:val="left" w:pos="522" w:leader="none"/>
              </w:tabs>
              <w:spacing w:before="80" w:after="80"/>
              <w:ind w:left="522" w:hanging="630"/>
              <w:rPr>
                <w:rFonts w:ascii="Arial" w:hAnsi="Arial" w:eastAsia="SimSun" w:cs="Arial"/>
                <w:spacing w:val="0"/>
                <w:sz w:val="22"/>
                <w:szCs w:val="22"/>
                <w:lang w:eastAsia="zh-CN"/>
              </w:rPr>
            </w:pPr>
            <w:r>
              <w:rPr>
                <w:rFonts w:cs="Arial" w:ascii="Arial" w:hAnsi="Arial"/>
                <w:sz w:val="22"/>
                <w:szCs w:val="22"/>
                <w:lang w:val="en-GB"/>
              </w:rPr>
              <w:t xml:space="preserve">Tenders shall be delivered to the Procuring Entity at the address specified in the </w:t>
            </w:r>
            <w:r>
              <w:rPr>
                <w:rFonts w:cs="Arial" w:ascii="Arial" w:hAnsi="Arial"/>
                <w:b/>
                <w:sz w:val="22"/>
                <w:szCs w:val="22"/>
                <w:lang w:val="en-GB"/>
              </w:rPr>
              <w:t>TDS</w:t>
            </w:r>
            <w:r>
              <w:rPr>
                <w:rFonts w:cs="Arial" w:ascii="Arial" w:hAnsi="Arial"/>
                <w:sz w:val="22"/>
                <w:szCs w:val="22"/>
                <w:lang w:val="en-GB"/>
              </w:rPr>
              <w:t xml:space="preserve"> and not later than the date and time specified in the </w:t>
            </w:r>
            <w:r>
              <w:rPr>
                <w:rFonts w:cs="Arial" w:ascii="Arial" w:hAnsi="Arial"/>
                <w:b/>
                <w:sz w:val="22"/>
                <w:szCs w:val="22"/>
                <w:lang w:val="en-GB"/>
              </w:rPr>
              <w:t>TDS</w:t>
            </w:r>
            <w:r>
              <w:rPr>
                <w:rFonts w:eastAsia="SimSun" w:cs="Arial" w:ascii="Arial" w:hAnsi="Arial"/>
                <w:spacing w:val="0"/>
                <w:sz w:val="22"/>
                <w:szCs w:val="22"/>
                <w:lang w:eastAsia="zh-CN"/>
              </w:rPr>
              <w:t>.</w:t>
            </w:r>
          </w:p>
        </w:tc>
      </w:tr>
      <w:tr>
        <w:trPr>
          <w:trHeight w:val="1395" w:hRule="atLeast"/>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85"/>
              </w:numPr>
              <w:tabs>
                <w:tab w:val="clear" w:pos="720"/>
                <w:tab w:val="left" w:pos="549" w:leader="none"/>
              </w:tabs>
              <w:spacing w:before="80" w:after="80"/>
              <w:ind w:left="585" w:hanging="693"/>
              <w:rPr>
                <w:rFonts w:ascii="Arial" w:hAnsi="Arial" w:cs="Arial"/>
                <w:sz w:val="22"/>
                <w:szCs w:val="22"/>
                <w:lang w:val="en-GB"/>
              </w:rPr>
            </w:pPr>
            <w:r>
              <w:rPr>
                <w:rFonts w:cs="Arial" w:ascii="Arial" w:hAnsi="Arial"/>
                <w:sz w:val="22"/>
                <w:szCs w:val="22"/>
                <w:lang w:val="en-GB"/>
              </w:rPr>
              <w:t xml:space="preserve">The Procuring Entity may, at its discretion, extend the deadline for submission of Tender as stated under ITT Sub Clause 37.1, in which case all rights and obligations of the Procuring Entity and Tenderers previously subject to the deadline </w:t>
            </w:r>
            <w:r>
              <w:rPr>
                <w:rFonts w:cs="Arial" w:ascii="Arial" w:hAnsi="Arial"/>
                <w:bCs/>
                <w:sz w:val="22"/>
                <w:szCs w:val="22"/>
                <w:lang w:val="en-GB"/>
              </w:rPr>
              <w:t>will</w:t>
            </w:r>
            <w:r>
              <w:rPr>
                <w:rFonts w:cs="Arial" w:ascii="Arial" w:hAnsi="Arial"/>
                <w:sz w:val="22"/>
                <w:szCs w:val="22"/>
                <w:lang w:val="en-GB"/>
              </w:rPr>
              <w:t xml:space="preserve"> thereafter be subject to the new deadline as extended.</w:t>
            </w:r>
          </w:p>
        </w:tc>
      </w:tr>
      <w:tr>
        <w:trPr>
          <w:trHeight w:val="1080" w:hRule="atLeast"/>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keepLines/>
              <w:widowControl w:val="false"/>
              <w:numPr>
                <w:ilvl w:val="0"/>
                <w:numId w:val="85"/>
              </w:numPr>
              <w:tabs>
                <w:tab w:val="clear" w:pos="720"/>
                <w:tab w:val="left" w:pos="612" w:leader="none"/>
              </w:tabs>
              <w:spacing w:before="120" w:after="120"/>
              <w:ind w:left="612" w:hanging="693"/>
              <w:rPr>
                <w:rFonts w:ascii="Arial" w:hAnsi="Arial" w:cs="Arial"/>
                <w:sz w:val="22"/>
                <w:szCs w:val="22"/>
                <w:lang w:val="en-GB"/>
              </w:rPr>
            </w:pPr>
            <w:r>
              <w:rPr>
                <w:rFonts w:cs="Arial" w:ascii="Arial" w:hAnsi="Arial"/>
                <w:sz w:val="22"/>
                <w:szCs w:val="22"/>
                <w:lang w:val="en-GB"/>
              </w:rPr>
              <w:t>If submission of Tenders is allowed in more than one location, the date and time, for submission of Tenders for both the primary and the secondary place(s), shall be the “</w:t>
            </w:r>
            <w:r>
              <w:rPr>
                <w:rFonts w:cs="Arial" w:ascii="Arial" w:hAnsi="Arial"/>
                <w:b/>
                <w:sz w:val="22"/>
                <w:szCs w:val="22"/>
                <w:lang w:val="en-GB"/>
              </w:rPr>
              <w:t>same and not different</w:t>
            </w:r>
            <w:r>
              <w:rPr>
                <w:rFonts w:cs="Arial" w:ascii="Arial" w:hAnsi="Arial"/>
                <w:sz w:val="22"/>
                <w:szCs w:val="22"/>
                <w:lang w:val="en-GB"/>
              </w:rPr>
              <w:t xml:space="preserve">” as specified in the </w:t>
            </w:r>
            <w:r>
              <w:rPr>
                <w:rFonts w:cs="Arial" w:ascii="Arial" w:hAnsi="Arial"/>
                <w:b/>
                <w:sz w:val="22"/>
                <w:szCs w:val="22"/>
                <w:lang w:val="en-GB"/>
              </w:rPr>
              <w:t>TDS.</w:t>
            </w:r>
          </w:p>
        </w:tc>
      </w:tr>
      <w:tr>
        <w:trPr>
          <w:trHeight w:val="1629" w:hRule="atLeast"/>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keepLines/>
              <w:widowControl w:val="false"/>
              <w:numPr>
                <w:ilvl w:val="0"/>
                <w:numId w:val="85"/>
              </w:numPr>
              <w:tabs>
                <w:tab w:val="clear" w:pos="720"/>
                <w:tab w:val="left" w:pos="612" w:leader="none"/>
              </w:tabs>
              <w:spacing w:before="120" w:after="120"/>
              <w:ind w:left="612" w:hanging="693"/>
              <w:rPr>
                <w:rFonts w:ascii="Arial" w:hAnsi="Arial" w:cs="Arial"/>
                <w:sz w:val="22"/>
                <w:szCs w:val="22"/>
                <w:lang w:val="en-GB"/>
              </w:rPr>
            </w:pPr>
            <w:r>
              <w:rPr>
                <w:rFonts w:cs="Arial" w:ascii="Arial" w:hAnsi="Arial"/>
                <w:sz w:val="22"/>
                <w:szCs w:val="22"/>
                <w:lang w:val="en-GB"/>
              </w:rPr>
              <w:t xml:space="preserve">The Procuring Entity shall ensure that the Tenders received at the secondary place(s) are hand-delivered at the primary place as stated under ITT Sub Clause38.1, within THREE (3) HOURS after the deadline for submission of Tenders at the secondary place (s), in case of MULTIPLE DROPPING as stated under ITT Sub Clause 38.3, as specified in the </w:t>
            </w:r>
            <w:r>
              <w:rPr>
                <w:rFonts w:cs="Arial" w:ascii="Arial" w:hAnsi="Arial"/>
                <w:b/>
                <w:sz w:val="22"/>
                <w:szCs w:val="22"/>
                <w:lang w:val="en-GB"/>
              </w:rPr>
              <w:t>TDS</w:t>
            </w:r>
            <w:r>
              <w:rPr>
                <w:rFonts w:cs="Arial" w:ascii="Arial" w:hAnsi="Arial"/>
                <w:sz w:val="22"/>
                <w:szCs w:val="22"/>
                <w:lang w:val="en-GB"/>
              </w:rPr>
              <w:t>.</w:t>
            </w:r>
          </w:p>
        </w:tc>
      </w:tr>
      <w:tr>
        <w:trPr/>
        <w:tc>
          <w:tcPr>
            <w:tcW w:w="2222" w:type="dxa"/>
            <w:tcBorders/>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278" w:name="_Toc421454231"/>
            <w:bookmarkStart w:id="279" w:name="_Toc338337565"/>
            <w:bookmarkEnd w:id="279"/>
            <w:r>
              <w:rPr>
                <w:rStyle w:val="Heading3Char"/>
                <w:rFonts w:ascii="Arial" w:hAnsi="Arial"/>
                <w:b/>
                <w:sz w:val="22"/>
                <w:szCs w:val="22"/>
              </w:rPr>
              <w:t>Late Tender</w:t>
            </w:r>
            <w:bookmarkEnd w:id="278"/>
          </w:p>
        </w:tc>
        <w:tc>
          <w:tcPr>
            <w:tcW w:w="7020" w:type="dxa"/>
            <w:gridSpan w:val="3"/>
            <w:tcBorders/>
          </w:tcPr>
          <w:p>
            <w:pPr>
              <w:pStyle w:val="SubClauseText"/>
              <w:widowControl w:val="false"/>
              <w:numPr>
                <w:ilvl w:val="0"/>
                <w:numId w:val="142"/>
              </w:numPr>
              <w:tabs>
                <w:tab w:val="clear" w:pos="720"/>
                <w:tab w:val="left" w:pos="612" w:leader="none"/>
              </w:tabs>
              <w:spacing w:before="120" w:after="80"/>
              <w:ind w:left="612" w:hanging="720"/>
              <w:rPr>
                <w:rFonts w:ascii="Arial" w:hAnsi="Arial" w:cs="Arial"/>
                <w:sz w:val="22"/>
                <w:szCs w:val="22"/>
                <w:lang w:val="en-GB"/>
              </w:rPr>
            </w:pPr>
            <w:r>
              <w:rPr>
                <w:rFonts w:cs="Arial" w:ascii="Arial" w:hAnsi="Arial"/>
                <w:sz w:val="22"/>
                <w:szCs w:val="22"/>
                <w:lang w:val="en-GB"/>
              </w:rPr>
              <w:t>Any Tender received by the Procuring Entity after the deadline for submission of Tenders as stated under ITT Sub Clause 38.1, shall be declared LATE and returned unopened to the Tenderer.</w:t>
            </w:r>
          </w:p>
        </w:tc>
      </w:tr>
      <w:tr>
        <w:trPr>
          <w:trHeight w:val="360" w:hRule="atLeast"/>
        </w:trPr>
        <w:tc>
          <w:tcPr>
            <w:tcW w:w="2222" w:type="dxa"/>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280" w:name="_Toc421454232"/>
            <w:r>
              <w:rPr>
                <w:rStyle w:val="Heading3Char"/>
                <w:rFonts w:ascii="Arial" w:hAnsi="Arial"/>
                <w:b/>
                <w:sz w:val="22"/>
                <w:szCs w:val="22"/>
              </w:rPr>
              <w:t>Modification, Substitution or  Withdrawal of Tenders</w:t>
            </w:r>
            <w:bookmarkEnd w:id="280"/>
          </w:p>
        </w:tc>
        <w:tc>
          <w:tcPr>
            <w:tcW w:w="7020" w:type="dxa"/>
            <w:gridSpan w:val="3"/>
            <w:tcBorders/>
          </w:tcPr>
          <w:p>
            <w:pPr>
              <w:pStyle w:val="SubClauseText"/>
              <w:widowControl w:val="false"/>
              <w:numPr>
                <w:ilvl w:val="0"/>
                <w:numId w:val="86"/>
              </w:numPr>
              <w:tabs>
                <w:tab w:val="clear" w:pos="720"/>
                <w:tab w:val="left" w:pos="612" w:leader="none"/>
              </w:tabs>
              <w:spacing w:before="120" w:after="80"/>
              <w:ind w:left="612" w:hanging="720"/>
              <w:rPr>
                <w:rFonts w:ascii="Arial" w:hAnsi="Arial" w:cs="Arial"/>
                <w:sz w:val="22"/>
                <w:szCs w:val="22"/>
                <w:lang w:val="en-GB"/>
              </w:rPr>
            </w:pPr>
            <w:r>
              <w:rPr>
                <w:rFonts w:cs="Arial" w:ascii="Arial" w:hAnsi="Arial"/>
                <w:sz w:val="22"/>
                <w:szCs w:val="22"/>
                <w:lang w:val="en-GB"/>
              </w:rPr>
              <w:t>Tenderers may modify, substitute or withdraw its Tender after it has been submitted by sending a written notice duly signed by the authorised signatory properly sealed, and shall include a copy of the authorisation; provided that such written notice including the affidavit is received by the Procuring Entity prior to the deadline for submission of Tenders as stated under ITT Sub Clause 38.1.</w:t>
            </w:r>
          </w:p>
        </w:tc>
      </w:tr>
      <w:tr>
        <w:trPr/>
        <w:tc>
          <w:tcPr>
            <w:tcW w:w="2222" w:type="dxa"/>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281" w:name="_Toc421454233"/>
            <w:r>
              <w:rPr>
                <w:rStyle w:val="Heading3Char"/>
                <w:rFonts w:ascii="Arial" w:hAnsi="Arial"/>
                <w:b/>
                <w:sz w:val="22"/>
                <w:szCs w:val="22"/>
              </w:rPr>
              <w:t>Tender Modification</w:t>
            </w:r>
            <w:bookmarkEnd w:id="281"/>
          </w:p>
        </w:tc>
        <w:tc>
          <w:tcPr>
            <w:tcW w:w="7020" w:type="dxa"/>
            <w:gridSpan w:val="3"/>
            <w:tcBorders/>
          </w:tcPr>
          <w:p>
            <w:pPr>
              <w:pStyle w:val="Heading4"/>
              <w:widowControl w:val="false"/>
              <w:numPr>
                <w:ilvl w:val="0"/>
                <w:numId w:val="87"/>
              </w:numPr>
              <w:tabs>
                <w:tab w:val="clear" w:pos="720"/>
                <w:tab w:val="left" w:pos="612" w:leader="none"/>
              </w:tabs>
              <w:spacing w:before="120" w:after="80"/>
              <w:ind w:left="612" w:hanging="720"/>
              <w:jc w:val="both"/>
              <w:rPr>
                <w:rFonts w:ascii="Arial" w:hAnsi="Arial" w:cs="Arial"/>
                <w:sz w:val="21"/>
                <w:szCs w:val="21"/>
                <w:lang w:val="en-GB"/>
              </w:rPr>
            </w:pPr>
            <w:r>
              <w:rPr>
                <w:rFonts w:cs="Arial" w:ascii="Arial" w:hAnsi="Arial"/>
                <w:sz w:val="22"/>
                <w:szCs w:val="22"/>
                <w:lang w:val="en-GB"/>
              </w:rPr>
              <w:t>Tenderers shall not be allowed to retrieve its original Tender, but shall be allowed to submit corresponding modification to its original Tender marked as “</w:t>
            </w:r>
            <w:r>
              <w:rPr>
                <w:rFonts w:cs="Arial" w:ascii="Arial" w:hAnsi="Arial"/>
                <w:b/>
                <w:sz w:val="22"/>
                <w:szCs w:val="22"/>
                <w:lang w:val="en-GB"/>
              </w:rPr>
              <w:t>MODIFICATION”.</w:t>
            </w:r>
          </w:p>
        </w:tc>
      </w:tr>
      <w:tr>
        <w:trPr/>
        <w:tc>
          <w:tcPr>
            <w:tcW w:w="2222" w:type="dxa"/>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282" w:name="_Toc421454234"/>
            <w:r>
              <w:rPr>
                <w:rStyle w:val="Heading3Char"/>
                <w:rFonts w:ascii="Arial" w:hAnsi="Arial"/>
                <w:b/>
                <w:sz w:val="22"/>
                <w:szCs w:val="22"/>
              </w:rPr>
              <w:t>Tender Substitution</w:t>
            </w:r>
            <w:bookmarkEnd w:id="282"/>
          </w:p>
          <w:p>
            <w:pPr>
              <w:pStyle w:val="Normal"/>
              <w:widowControl w:val="false"/>
              <w:tabs>
                <w:tab w:val="clear" w:pos="720"/>
                <w:tab w:val="left" w:pos="342" w:leader="none"/>
              </w:tabs>
              <w:spacing w:before="120" w:after="0"/>
              <w:ind w:left="360" w:hanging="0"/>
              <w:rPr>
                <w:rStyle w:val="Heading3Char"/>
                <w:rFonts w:ascii="Arial" w:hAnsi="Arial"/>
                <w:b/>
                <w:b/>
                <w:sz w:val="22"/>
                <w:szCs w:val="22"/>
              </w:rPr>
            </w:pPr>
            <w:r>
              <w:rPr>
                <w:rFonts w:ascii="Arial" w:hAnsi="Arial"/>
                <w:b/>
                <w:sz w:val="22"/>
                <w:szCs w:val="22"/>
              </w:rPr>
            </w:r>
          </w:p>
        </w:tc>
        <w:tc>
          <w:tcPr>
            <w:tcW w:w="7020" w:type="dxa"/>
            <w:gridSpan w:val="3"/>
            <w:tcBorders/>
          </w:tcPr>
          <w:p>
            <w:pPr>
              <w:pStyle w:val="Heading4"/>
              <w:widowControl w:val="false"/>
              <w:numPr>
                <w:ilvl w:val="0"/>
                <w:numId w:val="143"/>
              </w:numPr>
              <w:tabs>
                <w:tab w:val="clear" w:pos="720"/>
                <w:tab w:val="left" w:pos="612" w:leader="none"/>
              </w:tabs>
              <w:spacing w:before="120" w:after="80"/>
              <w:ind w:left="612" w:hanging="720"/>
              <w:jc w:val="both"/>
              <w:rPr>
                <w:rFonts w:ascii="Arial" w:hAnsi="Arial" w:cs="Arial"/>
                <w:sz w:val="21"/>
                <w:szCs w:val="21"/>
                <w:lang w:val="en-GB"/>
              </w:rPr>
            </w:pPr>
            <w:r>
              <w:rPr>
                <w:rFonts w:cs="Arial" w:ascii="Arial" w:hAnsi="Arial"/>
                <w:sz w:val="22"/>
                <w:szCs w:val="22"/>
                <w:lang w:val="en-GB"/>
              </w:rPr>
              <w:t xml:space="preserve">Tenderers shall not be allowed to retrieve its original Tender, but shall be allowed to submit another Tender marked as </w:t>
            </w:r>
            <w:r>
              <w:rPr>
                <w:rFonts w:cs="Arial" w:ascii="Arial" w:hAnsi="Arial"/>
                <w:b/>
                <w:sz w:val="22"/>
                <w:szCs w:val="22"/>
                <w:lang w:val="en-GB"/>
              </w:rPr>
              <w:t>“SUBSTITUTION”.</w:t>
            </w:r>
          </w:p>
        </w:tc>
      </w:tr>
      <w:tr>
        <w:trPr/>
        <w:tc>
          <w:tcPr>
            <w:tcW w:w="2222" w:type="dxa"/>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283" w:name="_Toc421454235"/>
            <w:r>
              <w:rPr>
                <w:rStyle w:val="Heading3Char"/>
                <w:rFonts w:ascii="Arial" w:hAnsi="Arial"/>
                <w:b/>
                <w:sz w:val="22"/>
                <w:szCs w:val="22"/>
              </w:rPr>
              <w:t>Withdrawal of Tender</w:t>
            </w:r>
            <w:bookmarkEnd w:id="283"/>
          </w:p>
        </w:tc>
        <w:tc>
          <w:tcPr>
            <w:tcW w:w="7020" w:type="dxa"/>
            <w:gridSpan w:val="3"/>
            <w:tcBorders/>
          </w:tcPr>
          <w:p>
            <w:pPr>
              <w:pStyle w:val="Heading4"/>
              <w:widowControl w:val="false"/>
              <w:numPr>
                <w:ilvl w:val="0"/>
                <w:numId w:val="88"/>
              </w:numPr>
              <w:tabs>
                <w:tab w:val="clear" w:pos="720"/>
                <w:tab w:val="left" w:pos="567" w:leader="none"/>
                <w:tab w:val="left" w:pos="612" w:leader="none"/>
              </w:tabs>
              <w:spacing w:before="120" w:after="80"/>
              <w:ind w:left="612" w:hanging="720"/>
              <w:jc w:val="both"/>
              <w:rPr>
                <w:rFonts w:ascii="Arial" w:hAnsi="Arial" w:cs="Arial"/>
                <w:sz w:val="22"/>
                <w:szCs w:val="22"/>
                <w:lang w:val="en-GB"/>
              </w:rPr>
            </w:pPr>
            <w:r>
              <w:rPr>
                <w:rFonts w:cs="Arial" w:ascii="Arial" w:hAnsi="Arial"/>
                <w:sz w:val="22"/>
                <w:szCs w:val="22"/>
                <w:lang w:val="en-GB"/>
              </w:rPr>
              <w:t xml:space="preserve">Tenderers shall be allowed to withdraw its Tender by a Letter of Withdrawal marked as </w:t>
            </w:r>
            <w:r>
              <w:rPr>
                <w:rFonts w:cs="Arial" w:ascii="Arial" w:hAnsi="Arial"/>
                <w:b/>
                <w:sz w:val="22"/>
                <w:szCs w:val="22"/>
                <w:lang w:val="en-GB"/>
              </w:rPr>
              <w:t>“WITHDRAWAL</w:t>
            </w:r>
            <w:r>
              <w:rPr>
                <w:rFonts w:cs="Arial" w:ascii="Arial" w:hAnsi="Arial"/>
                <w:sz w:val="22"/>
                <w:szCs w:val="22"/>
                <w:lang w:val="en-GB"/>
              </w:rPr>
              <w:t>”.</w:t>
            </w:r>
          </w:p>
          <w:p>
            <w:pPr>
              <w:pStyle w:val="Normal"/>
              <w:widowControl w:val="false"/>
              <w:spacing w:before="120" w:after="80"/>
              <w:rPr>
                <w:sz w:val="12"/>
                <w:szCs w:val="12"/>
                <w:lang w:val="en-GB" w:eastAsia="en-US"/>
              </w:rPr>
            </w:pPr>
            <w:r>
              <w:rPr>
                <w:sz w:val="12"/>
                <w:szCs w:val="12"/>
                <w:lang w:val="en-GB" w:eastAsia="en-US"/>
              </w:rPr>
            </w:r>
          </w:p>
        </w:tc>
      </w:tr>
      <w:tr>
        <w:trPr/>
        <w:tc>
          <w:tcPr>
            <w:tcW w:w="9242" w:type="dxa"/>
            <w:gridSpan w:val="4"/>
            <w:tcBorders/>
          </w:tcPr>
          <w:p>
            <w:pPr>
              <w:pStyle w:val="Heading2"/>
              <w:widowControl w:val="false"/>
              <w:spacing w:before="160" w:after="160"/>
              <w:rPr>
                <w:rFonts w:ascii="Arial" w:hAnsi="Arial"/>
                <w:sz w:val="32"/>
                <w:szCs w:val="32"/>
                <w:lang w:val="en-GB"/>
              </w:rPr>
            </w:pPr>
            <w:bookmarkStart w:id="284" w:name="_Toc49591357"/>
            <w:bookmarkStart w:id="285" w:name="_Toc421454236"/>
            <w:bookmarkStart w:id="286" w:name="_Toc49569795"/>
            <w:bookmarkStart w:id="287" w:name="_Toc49504778"/>
            <w:bookmarkStart w:id="288" w:name="_Toc49504659"/>
            <w:bookmarkStart w:id="289" w:name="_Toc49504225"/>
            <w:bookmarkStart w:id="290" w:name="_Toc49591705"/>
            <w:r>
              <w:rPr>
                <w:rFonts w:ascii="Arial" w:hAnsi="Arial"/>
                <w:sz w:val="32"/>
                <w:szCs w:val="32"/>
                <w:lang w:val="en-GB"/>
              </w:rPr>
              <w:t>F.</w:t>
              <w:tab/>
              <w:t>Tender Opening and Evaluation</w:t>
            </w:r>
            <w:bookmarkEnd w:id="284"/>
            <w:bookmarkEnd w:id="285"/>
            <w:bookmarkEnd w:id="286"/>
            <w:bookmarkEnd w:id="287"/>
            <w:bookmarkEnd w:id="288"/>
            <w:bookmarkEnd w:id="289"/>
            <w:bookmarkEnd w:id="290"/>
          </w:p>
        </w:tc>
      </w:tr>
      <w:tr>
        <w:trPr/>
        <w:tc>
          <w:tcPr>
            <w:tcW w:w="2222" w:type="dxa"/>
            <w:vMerge w:val="restart"/>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291" w:name="_Toc421454237"/>
            <w:r>
              <w:rPr>
                <w:rStyle w:val="Heading3Char"/>
                <w:rFonts w:ascii="Arial" w:hAnsi="Arial"/>
                <w:b/>
                <w:sz w:val="22"/>
                <w:szCs w:val="22"/>
              </w:rPr>
              <w:t>Tender Opening</w:t>
            </w:r>
            <w:bookmarkEnd w:id="291"/>
          </w:p>
        </w:tc>
        <w:tc>
          <w:tcPr>
            <w:tcW w:w="7020" w:type="dxa"/>
            <w:gridSpan w:val="3"/>
            <w:tcBorders/>
          </w:tcPr>
          <w:p>
            <w:pPr>
              <w:pStyle w:val="SubClauseText"/>
              <w:widowControl w:val="false"/>
              <w:numPr>
                <w:ilvl w:val="0"/>
                <w:numId w:val="144"/>
              </w:numPr>
              <w:tabs>
                <w:tab w:val="clear" w:pos="720"/>
                <w:tab w:val="left" w:pos="612" w:leader="none"/>
              </w:tabs>
              <w:spacing w:before="40" w:after="80"/>
              <w:ind w:left="605" w:hanging="720"/>
              <w:rPr>
                <w:rFonts w:ascii="Arial" w:hAnsi="Arial" w:cs="Arial"/>
                <w:sz w:val="22"/>
                <w:szCs w:val="22"/>
                <w:lang w:val="en-GB"/>
              </w:rPr>
            </w:pPr>
            <w:r>
              <w:rPr>
                <w:rFonts w:cs="Arial" w:ascii="Arial" w:hAnsi="Arial"/>
                <w:sz w:val="22"/>
                <w:szCs w:val="22"/>
                <w:lang w:val="en-GB"/>
              </w:rPr>
              <w:t xml:space="preserve">Tenders shall be opened immediately after the deadline for submission of Tenders at the primary place as specified in the </w:t>
            </w:r>
            <w:r>
              <w:rPr>
                <w:rFonts w:cs="Arial" w:ascii="Arial" w:hAnsi="Arial"/>
                <w:b/>
                <w:sz w:val="22"/>
                <w:szCs w:val="22"/>
                <w:lang w:val="en-GB"/>
              </w:rPr>
              <w:t>TDS</w:t>
            </w:r>
            <w:r>
              <w:rPr>
                <w:rFonts w:cs="Arial" w:ascii="Arial" w:hAnsi="Arial"/>
                <w:sz w:val="22"/>
                <w:szCs w:val="22"/>
                <w:lang w:val="en-GB"/>
              </w:rPr>
              <w:t xml:space="preserve"> but not later than </w:t>
            </w:r>
            <w:r>
              <w:rPr>
                <w:rFonts w:cs="Arial" w:ascii="Arial" w:hAnsi="Arial"/>
                <w:b/>
                <w:sz w:val="22"/>
                <w:szCs w:val="22"/>
                <w:lang w:val="en-GB"/>
              </w:rPr>
              <w:t>ONE HOUR</w:t>
            </w:r>
            <w:r>
              <w:rPr>
                <w:rFonts w:cs="Arial" w:ascii="Arial" w:hAnsi="Arial"/>
                <w:sz w:val="22"/>
                <w:szCs w:val="22"/>
                <w:lang w:val="en-GB"/>
              </w:rPr>
              <w:t xml:space="preserve"> after expiry of the submission deadline at the same primary place unless otherwise stated under ITT Sub Clause 44.2.</w:t>
            </w:r>
          </w:p>
        </w:tc>
      </w:tr>
      <w:tr>
        <w:trPr>
          <w:trHeight w:val="1143" w:hRule="atLeast"/>
        </w:trPr>
        <w:tc>
          <w:tcPr>
            <w:tcW w:w="2222" w:type="dxa"/>
            <w:vMerge w:val="continue"/>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r>
              <w:rPr>
                <w:rFonts w:ascii="Arial" w:hAnsi="Arial"/>
                <w:b/>
                <w:sz w:val="22"/>
                <w:szCs w:val="22"/>
              </w:rPr>
            </w:r>
            <w:bookmarkStart w:id="292" w:name="_Toc338337575"/>
            <w:bookmarkStart w:id="293" w:name="_Toc421014756"/>
            <w:bookmarkStart w:id="294" w:name="_Toc421454238"/>
            <w:bookmarkStart w:id="295" w:name="_Toc338337575"/>
            <w:bookmarkStart w:id="296" w:name="_Toc421014756"/>
            <w:bookmarkStart w:id="297" w:name="_Toc421454238"/>
            <w:bookmarkEnd w:id="295"/>
            <w:bookmarkEnd w:id="296"/>
            <w:bookmarkEnd w:id="297"/>
          </w:p>
        </w:tc>
        <w:tc>
          <w:tcPr>
            <w:tcW w:w="7020" w:type="dxa"/>
            <w:gridSpan w:val="3"/>
            <w:tcBorders/>
          </w:tcPr>
          <w:p>
            <w:pPr>
              <w:pStyle w:val="SubClauseText"/>
              <w:widowControl w:val="false"/>
              <w:numPr>
                <w:ilvl w:val="0"/>
                <w:numId w:val="144"/>
              </w:numPr>
              <w:tabs>
                <w:tab w:val="clear" w:pos="720"/>
                <w:tab w:val="left" w:pos="612" w:leader="none"/>
              </w:tabs>
              <w:spacing w:before="40" w:after="80"/>
              <w:ind w:left="605" w:hanging="720"/>
              <w:rPr>
                <w:rFonts w:ascii="Arial" w:hAnsi="Arial" w:cs="Arial"/>
                <w:sz w:val="22"/>
                <w:szCs w:val="22"/>
                <w:lang w:val="en-GB"/>
              </w:rPr>
            </w:pPr>
            <w:r>
              <w:rPr>
                <w:rFonts w:cs="Arial" w:ascii="Arial" w:hAnsi="Arial"/>
                <w:sz w:val="22"/>
                <w:szCs w:val="22"/>
                <w:lang w:val="en-GB"/>
              </w:rPr>
              <w:t>If submission of Tenders is allowed in more than one location as stated under ITT Sub Clause 38.3 and 38.4,Tenders shall be opened, immediately after receipt of Tenders from all the secondary place(s), at the primary place.</w:t>
            </w:r>
          </w:p>
        </w:tc>
      </w:tr>
      <w:tr>
        <w:trPr/>
        <w:tc>
          <w:tcPr>
            <w:tcW w:w="2222" w:type="dxa"/>
            <w:vMerge w:val="continue"/>
            <w:tcBorders/>
            <w:shd w:color="auto" w:fill="auto" w:val="clear"/>
          </w:tcPr>
          <w:p>
            <w:pPr>
              <w:pStyle w:val="Heading4"/>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144"/>
              </w:numPr>
              <w:tabs>
                <w:tab w:val="clear" w:pos="720"/>
                <w:tab w:val="left" w:pos="612" w:leader="none"/>
              </w:tabs>
              <w:spacing w:before="40" w:after="80"/>
              <w:ind w:left="605" w:hanging="720"/>
              <w:rPr>
                <w:rFonts w:ascii="Arial" w:hAnsi="Arial" w:cs="Arial"/>
                <w:sz w:val="22"/>
                <w:szCs w:val="22"/>
                <w:lang w:val="en-GB"/>
              </w:rPr>
            </w:pPr>
            <w:r>
              <w:rPr>
                <w:rFonts w:cs="Arial" w:ascii="Arial" w:hAnsi="Arial"/>
                <w:sz w:val="22"/>
                <w:szCs w:val="22"/>
              </w:rPr>
              <w:t>Persons not associated with the Tender may not be allowed to attend the public opening of Tenders.</w:t>
            </w:r>
          </w:p>
        </w:tc>
      </w:tr>
      <w:tr>
        <w:trPr/>
        <w:tc>
          <w:tcPr>
            <w:tcW w:w="2222" w:type="dxa"/>
            <w:vMerge w:val="continue"/>
            <w:tcBorders/>
            <w:shd w:color="auto" w:fill="auto" w:val="clear"/>
          </w:tcPr>
          <w:p>
            <w:pPr>
              <w:pStyle w:val="Heading4"/>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144"/>
              </w:numPr>
              <w:tabs>
                <w:tab w:val="clear" w:pos="720"/>
                <w:tab w:val="left" w:pos="612" w:leader="none"/>
              </w:tabs>
              <w:spacing w:before="40" w:after="80"/>
              <w:ind w:left="605" w:hanging="720"/>
              <w:rPr>
                <w:rFonts w:ascii="Arial" w:hAnsi="Arial" w:cs="Arial"/>
                <w:sz w:val="22"/>
                <w:szCs w:val="22"/>
                <w:lang w:val="en-GB"/>
              </w:rPr>
            </w:pPr>
            <w:r>
              <w:rPr>
                <w:rFonts w:cs="Arial" w:ascii="Arial" w:hAnsi="Arial"/>
                <w:sz w:val="22"/>
                <w:szCs w:val="22"/>
              </w:rPr>
              <w:t>Tenderers’ representatives shall be duly authorized by the Tenderer.</w:t>
            </w:r>
            <w:r>
              <w:rPr>
                <w:rFonts w:cs="Arial" w:ascii="Arial" w:hAnsi="Arial"/>
                <w:sz w:val="22"/>
                <w:szCs w:val="22"/>
                <w:lang w:val="en-GB"/>
              </w:rPr>
              <w:t xml:space="preserve"> Tenderers or their authorised representatives will be allowed to attend and witness the opening of Tenders, and will sign a register evidencing their attendance.</w:t>
            </w:r>
          </w:p>
        </w:tc>
      </w:tr>
      <w:tr>
        <w:trPr/>
        <w:tc>
          <w:tcPr>
            <w:tcW w:w="2222" w:type="dxa"/>
            <w:vMerge w:val="continue"/>
            <w:tcBorders/>
            <w:shd w:color="auto" w:fill="auto" w:val="clear"/>
          </w:tcPr>
          <w:p>
            <w:pPr>
              <w:pStyle w:val="Heading4"/>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144"/>
              </w:numPr>
              <w:tabs>
                <w:tab w:val="clear" w:pos="720"/>
                <w:tab w:val="left" w:pos="612" w:leader="none"/>
              </w:tabs>
              <w:spacing w:before="120" w:after="120"/>
              <w:ind w:left="612" w:hanging="720"/>
              <w:rPr>
                <w:rFonts w:ascii="Arial" w:hAnsi="Arial" w:cs="Arial"/>
                <w:sz w:val="22"/>
                <w:szCs w:val="22"/>
                <w:lang w:val="en-GB"/>
              </w:rPr>
            </w:pPr>
            <w:r>
              <w:rPr>
                <w:rFonts w:cs="Arial" w:ascii="Arial" w:hAnsi="Arial"/>
                <w:sz w:val="22"/>
                <w:szCs w:val="22"/>
                <w:lang w:val="en-GB"/>
              </w:rPr>
              <w:t>The authenticity of withdrawal or substitution of, or modifications to original Tender, if any made by a Tenderer in specified manner, shall be examined and verified by the Tender Opening Committee (TOC) based on documents submitted under ITT Sub Clause 40.1.</w:t>
            </w:r>
          </w:p>
        </w:tc>
      </w:tr>
      <w:tr>
        <w:trPr>
          <w:trHeight w:val="180" w:hRule="atLeast"/>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144"/>
              </w:numPr>
              <w:tabs>
                <w:tab w:val="clear" w:pos="720"/>
                <w:tab w:val="left" w:pos="612" w:leader="none"/>
              </w:tabs>
              <w:spacing w:before="0" w:after="0"/>
              <w:ind w:left="612" w:hanging="720"/>
              <w:rPr>
                <w:rFonts w:ascii="Arial" w:hAnsi="Arial" w:cs="Arial"/>
                <w:sz w:val="22"/>
                <w:szCs w:val="22"/>
                <w:lang w:val="en-GB"/>
              </w:rPr>
            </w:pPr>
            <w:r>
              <w:rPr>
                <w:rFonts w:cs="Arial" w:ascii="Arial" w:hAnsi="Arial"/>
                <w:sz w:val="22"/>
                <w:szCs w:val="22"/>
                <w:lang w:val="en-GB"/>
              </w:rPr>
              <w:t>Ensuring that only the correct (M), (S), (A),(O) envelopes are opened, details of each Tender will be dealt with as follows:</w:t>
            </w:r>
          </w:p>
          <w:p>
            <w:pPr>
              <w:pStyle w:val="Normal"/>
              <w:keepLines/>
              <w:widowControl w:val="false"/>
              <w:numPr>
                <w:ilvl w:val="0"/>
                <w:numId w:val="35"/>
              </w:numPr>
              <w:ind w:left="1062" w:hanging="540"/>
              <w:jc w:val="both"/>
              <w:rPr>
                <w:rFonts w:ascii="Arial" w:hAnsi="Arial" w:cs="Arial"/>
                <w:sz w:val="22"/>
                <w:szCs w:val="22"/>
                <w:lang w:val="en-GB"/>
              </w:rPr>
            </w:pPr>
            <w:r>
              <w:rPr>
                <w:rFonts w:cs="Arial" w:ascii="Arial" w:hAnsi="Arial"/>
                <w:sz w:val="22"/>
                <w:szCs w:val="22"/>
                <w:lang w:val="en-GB"/>
              </w:rPr>
              <w:t>the Chairperson of the TOC will read aloud each Tender and record in the Tender Opening Sheet (TOS);</w:t>
            </w:r>
          </w:p>
          <w:p>
            <w:pPr>
              <w:pStyle w:val="Normal"/>
              <w:keepLines/>
              <w:widowControl w:val="false"/>
              <w:numPr>
                <w:ilvl w:val="1"/>
                <w:numId w:val="89"/>
              </w:numPr>
              <w:spacing w:before="0" w:after="120"/>
              <w:ind w:left="1062" w:hanging="450"/>
              <w:jc w:val="both"/>
              <w:rPr>
                <w:rFonts w:ascii="Arial" w:hAnsi="Arial" w:cs="Arial"/>
                <w:sz w:val="22"/>
                <w:szCs w:val="22"/>
                <w:lang w:val="en-GB"/>
              </w:rPr>
            </w:pPr>
            <w:r>
              <w:rPr>
                <w:rFonts w:cs="Arial" w:ascii="Arial" w:hAnsi="Arial"/>
                <w:sz w:val="22"/>
                <w:szCs w:val="22"/>
                <w:lang w:val="en-GB"/>
              </w:rPr>
              <w:t>the name and address of the Tenderer;</w:t>
            </w:r>
          </w:p>
          <w:p>
            <w:pPr>
              <w:pStyle w:val="Normal"/>
              <w:keepLines/>
              <w:widowControl w:val="false"/>
              <w:numPr>
                <w:ilvl w:val="1"/>
                <w:numId w:val="89"/>
              </w:numPr>
              <w:spacing w:before="120" w:after="120"/>
              <w:ind w:left="1062" w:hanging="450"/>
              <w:jc w:val="both"/>
              <w:rPr>
                <w:rFonts w:ascii="Arial" w:hAnsi="Arial" w:cs="Arial"/>
                <w:spacing w:val="-10"/>
                <w:sz w:val="22"/>
                <w:szCs w:val="22"/>
                <w:lang w:val="en-GB"/>
              </w:rPr>
            </w:pPr>
            <w:r>
              <w:rPr>
                <w:rFonts w:cs="Arial" w:ascii="Arial" w:hAnsi="Arial"/>
                <w:spacing w:val="-10"/>
                <w:sz w:val="22"/>
                <w:szCs w:val="22"/>
                <w:lang w:val="en-GB"/>
              </w:rPr>
              <w:t>state if it is a withdrawn, modified, substituted, or original Tender;</w:t>
            </w:r>
          </w:p>
          <w:p>
            <w:pPr>
              <w:pStyle w:val="Normal"/>
              <w:keepLines/>
              <w:widowControl w:val="false"/>
              <w:numPr>
                <w:ilvl w:val="1"/>
                <w:numId w:val="89"/>
              </w:numPr>
              <w:spacing w:before="120" w:after="120"/>
              <w:ind w:left="1062" w:hanging="450"/>
              <w:jc w:val="both"/>
              <w:rPr>
                <w:rFonts w:ascii="Arial" w:hAnsi="Arial" w:cs="Arial"/>
                <w:sz w:val="22"/>
                <w:szCs w:val="22"/>
                <w:lang w:val="en-GB"/>
              </w:rPr>
            </w:pPr>
            <w:r>
              <w:rPr>
                <w:rFonts w:cs="Arial" w:ascii="Arial" w:hAnsi="Arial"/>
                <w:sz w:val="22"/>
                <w:szCs w:val="22"/>
                <w:lang w:val="en-GB"/>
              </w:rPr>
              <w:t>the Tender price;</w:t>
            </w:r>
          </w:p>
          <w:p>
            <w:pPr>
              <w:pStyle w:val="Normal"/>
              <w:keepLines/>
              <w:widowControl w:val="false"/>
              <w:numPr>
                <w:ilvl w:val="1"/>
                <w:numId w:val="89"/>
              </w:numPr>
              <w:spacing w:before="120" w:after="120"/>
              <w:ind w:left="1062" w:hanging="450"/>
              <w:jc w:val="both"/>
              <w:rPr>
                <w:rFonts w:ascii="Arial" w:hAnsi="Arial" w:cs="Arial"/>
                <w:sz w:val="22"/>
                <w:szCs w:val="22"/>
                <w:lang w:val="en-GB"/>
              </w:rPr>
            </w:pPr>
            <w:r>
              <w:rPr>
                <w:rFonts w:cs="Arial" w:ascii="Arial" w:hAnsi="Arial"/>
                <w:sz w:val="22"/>
                <w:szCs w:val="22"/>
                <w:lang w:val="en-GB"/>
              </w:rPr>
              <w:t>any discounts;</w:t>
            </w:r>
          </w:p>
          <w:p>
            <w:pPr>
              <w:pStyle w:val="Normal"/>
              <w:keepLines/>
              <w:widowControl w:val="false"/>
              <w:numPr>
                <w:ilvl w:val="1"/>
                <w:numId w:val="89"/>
              </w:numPr>
              <w:spacing w:before="120" w:after="120"/>
              <w:ind w:left="1062" w:hanging="450"/>
              <w:jc w:val="both"/>
              <w:rPr>
                <w:rFonts w:ascii="Arial" w:hAnsi="Arial" w:cs="Arial"/>
                <w:sz w:val="22"/>
                <w:szCs w:val="22"/>
                <w:lang w:val="en-GB"/>
              </w:rPr>
            </w:pPr>
            <w:r>
              <w:rPr>
                <w:rFonts w:cs="Arial" w:ascii="Arial" w:hAnsi="Arial"/>
                <w:sz w:val="22"/>
                <w:szCs w:val="22"/>
                <w:lang w:val="en-GB"/>
              </w:rPr>
              <w:t>any alternatives;</w:t>
            </w:r>
          </w:p>
          <w:p>
            <w:pPr>
              <w:pStyle w:val="Normal"/>
              <w:keepLines/>
              <w:widowControl w:val="false"/>
              <w:numPr>
                <w:ilvl w:val="1"/>
                <w:numId w:val="89"/>
              </w:numPr>
              <w:spacing w:before="120" w:after="120"/>
              <w:ind w:left="1062" w:hanging="450"/>
              <w:jc w:val="both"/>
              <w:rPr>
                <w:rFonts w:ascii="Arial" w:hAnsi="Arial" w:cs="Arial"/>
                <w:spacing w:val="-8"/>
                <w:sz w:val="22"/>
                <w:szCs w:val="22"/>
                <w:lang w:val="en-GB"/>
              </w:rPr>
            </w:pPr>
            <w:r>
              <w:rPr>
                <w:rFonts w:cs="Arial" w:ascii="Arial" w:hAnsi="Arial"/>
                <w:spacing w:val="-8"/>
                <w:sz w:val="22"/>
                <w:szCs w:val="22"/>
                <w:lang w:val="en-GB"/>
              </w:rPr>
              <w:t>the presence or absence of any requisite Tender Security; and</w:t>
            </w:r>
          </w:p>
          <w:p>
            <w:pPr>
              <w:pStyle w:val="Normal"/>
              <w:keepLines/>
              <w:widowControl w:val="false"/>
              <w:numPr>
                <w:ilvl w:val="1"/>
                <w:numId w:val="89"/>
              </w:numPr>
              <w:spacing w:before="120" w:after="120"/>
              <w:ind w:left="1062" w:hanging="450"/>
              <w:jc w:val="both"/>
              <w:rPr>
                <w:rFonts w:ascii="Arial" w:hAnsi="Arial" w:cs="Arial"/>
                <w:sz w:val="22"/>
                <w:szCs w:val="22"/>
                <w:lang w:val="en-GB"/>
              </w:rPr>
            </w:pPr>
            <w:r>
              <w:rPr>
                <w:rFonts w:cs="Arial" w:ascii="Arial" w:hAnsi="Arial"/>
                <w:sz w:val="22"/>
                <w:szCs w:val="22"/>
                <w:lang w:val="en-GB"/>
              </w:rPr>
              <w:t>such other details as the Procuring Entity, at its discretion, may consider appropriate;</w:t>
            </w:r>
          </w:p>
          <w:p>
            <w:pPr>
              <w:pStyle w:val="Normal"/>
              <w:keepLines/>
              <w:widowControl w:val="false"/>
              <w:numPr>
                <w:ilvl w:val="0"/>
                <w:numId w:val="35"/>
              </w:numPr>
              <w:spacing w:before="120" w:after="120"/>
              <w:ind w:left="1062" w:hanging="540"/>
              <w:jc w:val="both"/>
              <w:rPr>
                <w:rFonts w:ascii="Arial" w:hAnsi="Arial" w:cs="Arial"/>
                <w:sz w:val="22"/>
                <w:szCs w:val="22"/>
                <w:lang w:val="en-GB"/>
              </w:rPr>
            </w:pPr>
            <w:r>
              <w:rPr>
                <w:rFonts w:cs="Arial" w:ascii="Arial" w:hAnsi="Arial"/>
                <w:sz w:val="22"/>
                <w:szCs w:val="22"/>
                <w:lang w:val="en-GB"/>
              </w:rPr>
              <w:t>only discounts and alternative read aloud  at the Tender opening will be considered in evaluation;</w:t>
            </w:r>
          </w:p>
          <w:p>
            <w:pPr>
              <w:pStyle w:val="Normal"/>
              <w:keepLines/>
              <w:widowControl w:val="false"/>
              <w:numPr>
                <w:ilvl w:val="0"/>
                <w:numId w:val="35"/>
              </w:numPr>
              <w:spacing w:before="120" w:after="120"/>
              <w:ind w:left="1062" w:hanging="540"/>
              <w:jc w:val="both"/>
              <w:rPr>
                <w:rFonts w:ascii="Arial" w:hAnsi="Arial" w:cs="Arial"/>
                <w:sz w:val="22"/>
                <w:szCs w:val="22"/>
                <w:lang w:val="en-GB"/>
              </w:rPr>
            </w:pPr>
            <w:r>
              <w:rPr>
                <w:rFonts w:cs="Arial" w:ascii="Arial" w:hAnsi="Arial"/>
                <w:sz w:val="22"/>
                <w:szCs w:val="22"/>
                <w:lang w:val="en-GB"/>
              </w:rPr>
              <w:t>all pages of the original version of the Tender, except for un-amended printed literature, will be initialled by members of the TOC.</w:t>
            </w:r>
          </w:p>
        </w:tc>
      </w:tr>
      <w:tr>
        <w:trPr/>
        <w:tc>
          <w:tcPr>
            <w:tcW w:w="2222" w:type="dxa"/>
            <w:vMerge w:val="restart"/>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144"/>
              </w:numPr>
              <w:tabs>
                <w:tab w:val="clear" w:pos="720"/>
                <w:tab w:val="left" w:pos="612" w:leader="none"/>
              </w:tabs>
              <w:spacing w:before="60" w:after="120"/>
              <w:ind w:left="612" w:hanging="720"/>
              <w:rPr>
                <w:rFonts w:ascii="Arial" w:hAnsi="Arial" w:cs="Arial"/>
                <w:sz w:val="21"/>
                <w:szCs w:val="21"/>
                <w:lang w:val="en-GB"/>
              </w:rPr>
            </w:pPr>
            <w:r>
              <w:rPr>
                <w:rFonts w:cs="Arial" w:ascii="Arial" w:hAnsi="Arial"/>
                <w:sz w:val="22"/>
                <w:szCs w:val="22"/>
                <w:lang w:val="en-GB"/>
              </w:rPr>
              <w:t>Upon completion of Tender opening, all members of the TOC and the Tenderers or Tenderer’s duly authorised representatives attending the Tender opening shall sign by name, address, designation, the TOS, copies of which shall be issued to the Head of the Procuring Entity or an officer authorised by him or her and also to the members of the Tender Opening Committee and any authorised Consultants and, to the Tenderers immediately</w:t>
            </w:r>
          </w:p>
        </w:tc>
      </w:tr>
      <w:tr>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144"/>
              </w:numPr>
              <w:tabs>
                <w:tab w:val="clear" w:pos="720"/>
                <w:tab w:val="left" w:pos="612" w:leader="none"/>
              </w:tabs>
              <w:spacing w:before="120" w:after="100"/>
              <w:ind w:left="612" w:hanging="720"/>
              <w:rPr>
                <w:rFonts w:ascii="Arial" w:hAnsi="Arial" w:cs="Arial"/>
                <w:sz w:val="22"/>
                <w:szCs w:val="22"/>
                <w:lang w:val="en-GB"/>
              </w:rPr>
            </w:pPr>
            <w:r>
              <w:rPr>
                <w:rFonts w:eastAsia="SimSun" w:cs="Arial" w:ascii="Arial" w:hAnsi="Arial"/>
                <w:spacing w:val="0"/>
                <w:sz w:val="22"/>
                <w:szCs w:val="22"/>
                <w:lang w:val="en-GB" w:eastAsia="zh-CN"/>
              </w:rPr>
              <w:t>The omission of a Tenderer’s signature on the record shall not invalidate the contents and effect of the record under ITT Sub-Clause 44.7.</w:t>
            </w:r>
          </w:p>
        </w:tc>
      </w:tr>
      <w:tr>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144"/>
              </w:numPr>
              <w:tabs>
                <w:tab w:val="clear" w:pos="720"/>
                <w:tab w:val="left" w:pos="612" w:leader="none"/>
              </w:tabs>
              <w:spacing w:before="120" w:after="0"/>
              <w:ind w:left="605" w:hanging="720"/>
              <w:rPr>
                <w:rFonts w:ascii="Arial" w:hAnsi="Arial" w:cs="Arial"/>
                <w:sz w:val="22"/>
                <w:szCs w:val="22"/>
                <w:lang w:val="en-GB"/>
              </w:rPr>
            </w:pPr>
            <w:r>
              <w:rPr>
                <w:rFonts w:cs="Arial" w:ascii="Arial" w:hAnsi="Arial"/>
                <w:sz w:val="22"/>
                <w:szCs w:val="22"/>
                <w:lang w:val="en-GB"/>
              </w:rPr>
              <w:t>No Tender will be rejected at the Tender opening stage except the LATE Tenders as stated in the ITT Clause 39.</w:t>
            </w:r>
          </w:p>
        </w:tc>
      </w:tr>
      <w:tr>
        <w:trPr>
          <w:trHeight w:val="1890" w:hRule="atLeast"/>
        </w:trPr>
        <w:tc>
          <w:tcPr>
            <w:tcW w:w="2222" w:type="dxa"/>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298" w:name="_Toc421454239"/>
            <w:r>
              <w:rPr>
                <w:rStyle w:val="Heading3Char"/>
                <w:rFonts w:ascii="Arial" w:hAnsi="Arial"/>
                <w:b/>
                <w:sz w:val="22"/>
                <w:szCs w:val="22"/>
              </w:rPr>
              <w:t>Evaluation of Tenders</w:t>
            </w:r>
            <w:bookmarkEnd w:id="298"/>
          </w:p>
        </w:tc>
        <w:tc>
          <w:tcPr>
            <w:tcW w:w="7020" w:type="dxa"/>
            <w:gridSpan w:val="3"/>
            <w:tcBorders/>
          </w:tcPr>
          <w:p>
            <w:pPr>
              <w:pStyle w:val="Normal"/>
              <w:widowControl w:val="false"/>
              <w:numPr>
                <w:ilvl w:val="0"/>
                <w:numId w:val="46"/>
              </w:numPr>
              <w:tabs>
                <w:tab w:val="clear" w:pos="720"/>
                <w:tab w:val="left" w:pos="612" w:leader="none"/>
              </w:tabs>
              <w:spacing w:before="120" w:after="192"/>
              <w:ind w:left="605" w:hanging="720"/>
              <w:jc w:val="both"/>
              <w:rPr>
                <w:rFonts w:ascii="Arial" w:hAnsi="Arial" w:cs="Arial"/>
                <w:sz w:val="21"/>
                <w:szCs w:val="21"/>
              </w:rPr>
            </w:pPr>
            <w:r>
              <w:rPr>
                <w:rFonts w:cs="Arial" w:ascii="Arial" w:hAnsi="Arial"/>
                <w:sz w:val="22"/>
                <w:szCs w:val="22"/>
                <w:lang w:val="en-GB"/>
              </w:rPr>
              <w:t>Tenders shall be examined and evaluated only on the basis of the criteria specified in the Tender Document.</w:t>
            </w:r>
          </w:p>
          <w:p>
            <w:pPr>
              <w:pStyle w:val="Normal"/>
              <w:widowControl w:val="false"/>
              <w:numPr>
                <w:ilvl w:val="0"/>
                <w:numId w:val="46"/>
              </w:numPr>
              <w:tabs>
                <w:tab w:val="clear" w:pos="720"/>
                <w:tab w:val="left" w:pos="612" w:leader="none"/>
              </w:tabs>
              <w:spacing w:before="120" w:after="0"/>
              <w:ind w:left="605" w:hanging="720"/>
              <w:jc w:val="both"/>
              <w:rPr>
                <w:rFonts w:ascii="Arial" w:hAnsi="Arial" w:cs="Arial"/>
                <w:sz w:val="21"/>
                <w:szCs w:val="21"/>
              </w:rPr>
            </w:pPr>
            <w:r>
              <w:rPr>
                <w:rFonts w:cs="Arial" w:ascii="Arial" w:hAnsi="Arial"/>
                <w:b/>
                <w:sz w:val="22"/>
                <w:szCs w:val="22"/>
                <w:lang w:val="en-GB"/>
              </w:rPr>
              <w:t>Tender Evaluation Committee</w:t>
            </w:r>
            <w:r>
              <w:rPr>
                <w:rFonts w:cs="Arial" w:ascii="Arial" w:hAnsi="Arial"/>
                <w:sz w:val="22"/>
                <w:szCs w:val="22"/>
                <w:lang w:val="en-GB"/>
              </w:rPr>
              <w:t xml:space="preserve"> (</w:t>
            </w:r>
            <w:r>
              <w:rPr>
                <w:rFonts w:cs="Arial" w:ascii="Arial" w:hAnsi="Arial"/>
                <w:b/>
                <w:sz w:val="22"/>
                <w:szCs w:val="22"/>
                <w:lang w:val="en-GB"/>
              </w:rPr>
              <w:t>TEC</w:t>
            </w:r>
            <w:r>
              <w:rPr>
                <w:rFonts w:cs="Arial" w:ascii="Arial" w:hAnsi="Arial"/>
                <w:sz w:val="22"/>
                <w:szCs w:val="22"/>
                <w:lang w:val="en-GB"/>
              </w:rPr>
              <w:t>) shall examine, evaluate and compare Tenders that are responsive to the requirements of Tender Documents in order to identify the successful Tenderer.</w:t>
            </w:r>
          </w:p>
        </w:tc>
      </w:tr>
      <w:tr>
        <w:trPr/>
        <w:tc>
          <w:tcPr>
            <w:tcW w:w="2222" w:type="dxa"/>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299" w:name="_Toc421454240"/>
            <w:r>
              <w:rPr>
                <w:rStyle w:val="Heading3Char"/>
                <w:rFonts w:ascii="Arial" w:hAnsi="Arial"/>
                <w:b/>
                <w:sz w:val="22"/>
                <w:szCs w:val="22"/>
              </w:rPr>
              <w:t>Evaluation process</w:t>
            </w:r>
            <w:bookmarkEnd w:id="299"/>
          </w:p>
        </w:tc>
        <w:tc>
          <w:tcPr>
            <w:tcW w:w="7020" w:type="dxa"/>
            <w:gridSpan w:val="3"/>
            <w:tcBorders/>
          </w:tcPr>
          <w:p>
            <w:pPr>
              <w:pStyle w:val="Normal"/>
              <w:widowControl w:val="false"/>
              <w:numPr>
                <w:ilvl w:val="0"/>
                <w:numId w:val="47"/>
              </w:numPr>
              <w:tabs>
                <w:tab w:val="clear" w:pos="720"/>
                <w:tab w:val="left" w:pos="612" w:leader="none"/>
              </w:tabs>
              <w:spacing w:before="120" w:after="0"/>
              <w:ind w:left="612" w:hanging="720"/>
              <w:jc w:val="both"/>
              <w:rPr>
                <w:rFonts w:ascii="Arial" w:hAnsi="Arial" w:cs="Arial"/>
                <w:sz w:val="22"/>
                <w:szCs w:val="22"/>
              </w:rPr>
            </w:pPr>
            <w:r>
              <w:rPr>
                <w:rFonts w:cs="Arial" w:ascii="Arial" w:hAnsi="Arial"/>
                <w:sz w:val="22"/>
                <w:szCs w:val="22"/>
              </w:rPr>
              <w:t>TEC may consider a Tender as responsive in the Evaluation, only if it is submitted in compliance with the mandatory requirements set out in the Tender Document.  The evaluation process should begin immediately after tender opening following  four steps:</w:t>
            </w:r>
          </w:p>
          <w:p>
            <w:pPr>
              <w:pStyle w:val="Normal"/>
              <w:keepNext w:val="true"/>
              <w:widowControl w:val="false"/>
              <w:numPr>
                <w:ilvl w:val="0"/>
                <w:numId w:val="40"/>
              </w:numPr>
              <w:tabs>
                <w:tab w:val="clear" w:pos="720"/>
                <w:tab w:val="left" w:pos="1062" w:leader="none"/>
              </w:tabs>
              <w:spacing w:before="120" w:after="120"/>
              <w:ind w:left="1062" w:hanging="180"/>
              <w:rPr>
                <w:rFonts w:ascii="Arial" w:hAnsi="Arial" w:cs="Arial"/>
                <w:sz w:val="22"/>
                <w:szCs w:val="22"/>
              </w:rPr>
            </w:pPr>
            <w:r>
              <w:rPr>
                <w:rFonts w:cs="Arial" w:ascii="Arial" w:hAnsi="Arial"/>
                <w:sz w:val="22"/>
                <w:szCs w:val="22"/>
              </w:rPr>
              <w:t>Preliminary  Examination;</w:t>
            </w:r>
          </w:p>
          <w:p>
            <w:pPr>
              <w:pStyle w:val="Normal"/>
              <w:keepNext w:val="true"/>
              <w:widowControl w:val="false"/>
              <w:numPr>
                <w:ilvl w:val="0"/>
                <w:numId w:val="40"/>
              </w:numPr>
              <w:tabs>
                <w:tab w:val="clear" w:pos="720"/>
                <w:tab w:val="left" w:pos="1062" w:leader="none"/>
              </w:tabs>
              <w:spacing w:before="120" w:after="120"/>
              <w:ind w:left="1062" w:hanging="180"/>
              <w:rPr>
                <w:rFonts w:ascii="Arial" w:hAnsi="Arial" w:cs="Arial"/>
                <w:sz w:val="22"/>
                <w:szCs w:val="22"/>
              </w:rPr>
            </w:pPr>
            <w:r>
              <w:rPr>
                <w:rFonts w:cs="Arial" w:ascii="Arial" w:hAnsi="Arial"/>
                <w:sz w:val="22"/>
                <w:szCs w:val="22"/>
              </w:rPr>
              <w:t>Technical Examinations and  Responsiveness;</w:t>
            </w:r>
          </w:p>
          <w:p>
            <w:pPr>
              <w:pStyle w:val="Normal"/>
              <w:keepNext w:val="true"/>
              <w:widowControl w:val="false"/>
              <w:numPr>
                <w:ilvl w:val="0"/>
                <w:numId w:val="40"/>
              </w:numPr>
              <w:tabs>
                <w:tab w:val="clear" w:pos="720"/>
                <w:tab w:val="left" w:pos="1062" w:leader="none"/>
              </w:tabs>
              <w:spacing w:before="120" w:after="120"/>
              <w:ind w:left="1062" w:hanging="180"/>
              <w:rPr>
                <w:rFonts w:ascii="Arial" w:hAnsi="Arial" w:cs="Arial"/>
                <w:sz w:val="22"/>
                <w:szCs w:val="22"/>
              </w:rPr>
            </w:pPr>
            <w:r>
              <w:rPr>
                <w:rFonts w:cs="Arial" w:ascii="Arial" w:hAnsi="Arial"/>
                <w:sz w:val="22"/>
                <w:szCs w:val="22"/>
              </w:rPr>
              <w:t>Financial evaluation and price comparison;</w:t>
            </w:r>
          </w:p>
          <w:p>
            <w:pPr>
              <w:pStyle w:val="Normal"/>
              <w:keepNext w:val="true"/>
              <w:widowControl w:val="false"/>
              <w:numPr>
                <w:ilvl w:val="0"/>
                <w:numId w:val="40"/>
              </w:numPr>
              <w:tabs>
                <w:tab w:val="clear" w:pos="720"/>
                <w:tab w:val="left" w:pos="1062" w:leader="none"/>
              </w:tabs>
              <w:spacing w:before="120" w:after="100"/>
              <w:ind w:left="1062" w:hanging="180"/>
              <w:rPr>
                <w:rFonts w:ascii="Arial" w:hAnsi="Arial" w:cs="Arial"/>
                <w:spacing w:val="-6"/>
                <w:sz w:val="22"/>
                <w:szCs w:val="22"/>
              </w:rPr>
            </w:pPr>
            <w:r>
              <w:rPr>
                <w:rFonts w:cs="Arial" w:ascii="Arial" w:hAnsi="Arial"/>
                <w:spacing w:val="-6"/>
                <w:sz w:val="22"/>
                <w:szCs w:val="22"/>
              </w:rPr>
              <w:t>Post-qualification of the lowest evaluated responsive Tenders.</w:t>
            </w:r>
          </w:p>
        </w:tc>
      </w:tr>
      <w:tr>
        <w:trPr/>
        <w:tc>
          <w:tcPr>
            <w:tcW w:w="2222" w:type="dxa"/>
            <w:vMerge w:val="restart"/>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300" w:name="_Toc421454241"/>
            <w:r>
              <w:rPr>
                <w:rStyle w:val="Heading3Char"/>
                <w:rFonts w:ascii="Arial" w:hAnsi="Arial"/>
                <w:b/>
                <w:sz w:val="22"/>
                <w:szCs w:val="22"/>
              </w:rPr>
              <w:t>Preliminary Examination</w:t>
            </w:r>
            <w:bookmarkEnd w:id="300"/>
          </w:p>
        </w:tc>
        <w:tc>
          <w:tcPr>
            <w:tcW w:w="7020" w:type="dxa"/>
            <w:gridSpan w:val="3"/>
            <w:tcBorders/>
          </w:tcPr>
          <w:p>
            <w:pPr>
              <w:pStyle w:val="SubClauseText"/>
              <w:widowControl w:val="false"/>
              <w:numPr>
                <w:ilvl w:val="0"/>
                <w:numId w:val="26"/>
              </w:numPr>
              <w:tabs>
                <w:tab w:val="clear" w:pos="720"/>
                <w:tab w:val="left" w:pos="612" w:leader="none"/>
              </w:tabs>
              <w:spacing w:before="120" w:after="120"/>
              <w:ind w:left="702" w:hanging="810"/>
              <w:rPr>
                <w:rFonts w:ascii="Arial" w:hAnsi="Arial" w:cs="Arial"/>
                <w:sz w:val="21"/>
                <w:szCs w:val="21"/>
                <w:lang w:val="en-GB"/>
              </w:rPr>
            </w:pPr>
            <w:r>
              <w:rPr>
                <w:rFonts w:cs="Arial" w:ascii="Arial" w:hAnsi="Arial"/>
                <w:sz w:val="22"/>
                <w:szCs w:val="22"/>
                <w:lang w:val="en-GB"/>
              </w:rPr>
              <w:t>TEC shall examine the Tenders to confirm that all documentation as stated under  ITT Clause 21 has been provided, to determine the completeness of each document submitted</w:t>
            </w:r>
          </w:p>
        </w:tc>
      </w:tr>
      <w:tr>
        <w:trPr>
          <w:trHeight w:val="2700" w:hRule="atLeast"/>
        </w:trPr>
        <w:tc>
          <w:tcPr>
            <w:tcW w:w="2222" w:type="dxa"/>
            <w:vMerge w:val="continue"/>
            <w:tcBorders/>
            <w:shd w:color="auto" w:fill="auto" w:val="clear"/>
          </w:tcPr>
          <w:p>
            <w:pPr>
              <w:pStyle w:val="Normal"/>
              <w:widowControl w:val="false"/>
              <w:spacing w:before="120" w:after="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26"/>
              </w:numPr>
              <w:tabs>
                <w:tab w:val="clear" w:pos="720"/>
                <w:tab w:val="left" w:pos="612" w:leader="none"/>
              </w:tabs>
              <w:spacing w:before="120" w:after="120"/>
              <w:ind w:left="702" w:hanging="810"/>
              <w:rPr>
                <w:rFonts w:ascii="Arial" w:hAnsi="Arial" w:cs="Arial"/>
                <w:sz w:val="22"/>
                <w:szCs w:val="22"/>
                <w:lang w:val="en-GB"/>
              </w:rPr>
            </w:pPr>
            <w:r>
              <w:rPr>
                <w:rFonts w:cs="Arial" w:ascii="Arial" w:hAnsi="Arial"/>
                <w:sz w:val="22"/>
                <w:szCs w:val="22"/>
                <w:lang w:val="en-GB"/>
              </w:rPr>
              <w:t>TEC shall confirm that the following documents and information have been provided in the tender.  If any of these documents or information is missing, the offer shall be rejected;</w:t>
            </w:r>
          </w:p>
          <w:p>
            <w:pPr>
              <w:pStyle w:val="Normal"/>
              <w:widowControl w:val="false"/>
              <w:numPr>
                <w:ilvl w:val="0"/>
                <w:numId w:val="101"/>
              </w:numPr>
              <w:tabs>
                <w:tab w:val="clear" w:pos="720"/>
                <w:tab w:val="left" w:pos="1152" w:leader="none"/>
              </w:tabs>
              <w:spacing w:before="100" w:after="100"/>
              <w:ind w:left="1152" w:hanging="450"/>
              <w:jc w:val="both"/>
              <w:rPr>
                <w:rFonts w:ascii="Arial" w:hAnsi="Arial" w:cs="Arial"/>
                <w:sz w:val="22"/>
                <w:szCs w:val="22"/>
                <w:lang w:val="en-GB"/>
              </w:rPr>
            </w:pPr>
            <w:bookmarkStart w:id="301" w:name="_Toc50198993"/>
            <w:bookmarkStart w:id="302" w:name="_Toc50259488"/>
            <w:bookmarkStart w:id="303" w:name="_Toc50260463"/>
            <w:r>
              <w:rPr>
                <w:rFonts w:cs="Arial" w:ascii="Arial" w:hAnsi="Arial"/>
                <w:sz w:val="22"/>
                <w:szCs w:val="22"/>
                <w:lang w:val="en-GB"/>
              </w:rPr>
              <w:t>Tender Submission Letter;</w:t>
            </w:r>
            <w:bookmarkEnd w:id="301"/>
            <w:bookmarkEnd w:id="302"/>
            <w:bookmarkEnd w:id="303"/>
          </w:p>
          <w:p>
            <w:pPr>
              <w:pStyle w:val="Normal"/>
              <w:widowControl w:val="false"/>
              <w:numPr>
                <w:ilvl w:val="0"/>
                <w:numId w:val="101"/>
              </w:numPr>
              <w:tabs>
                <w:tab w:val="clear" w:pos="720"/>
                <w:tab w:val="left" w:pos="1152" w:leader="none"/>
              </w:tabs>
              <w:spacing w:before="100" w:after="100"/>
              <w:ind w:left="1152" w:hanging="450"/>
              <w:jc w:val="both"/>
              <w:rPr>
                <w:rFonts w:ascii="Arial" w:hAnsi="Arial" w:cs="Arial"/>
                <w:sz w:val="22"/>
                <w:szCs w:val="22"/>
                <w:lang w:val="en-GB"/>
              </w:rPr>
            </w:pPr>
            <w:bookmarkStart w:id="304" w:name="_Toc50198994"/>
            <w:bookmarkStart w:id="305" w:name="_Toc50260464"/>
            <w:bookmarkStart w:id="306" w:name="_Toc50259489"/>
            <w:r>
              <w:rPr>
                <w:rFonts w:cs="Arial" w:ascii="Arial" w:hAnsi="Arial"/>
                <w:sz w:val="22"/>
                <w:szCs w:val="22"/>
                <w:lang w:val="en-GB"/>
              </w:rPr>
              <w:t>Priced Schedule;</w:t>
            </w:r>
            <w:bookmarkEnd w:id="304"/>
            <w:bookmarkEnd w:id="305"/>
            <w:bookmarkEnd w:id="306"/>
          </w:p>
          <w:p>
            <w:pPr>
              <w:pStyle w:val="Normal"/>
              <w:widowControl w:val="false"/>
              <w:numPr>
                <w:ilvl w:val="0"/>
                <w:numId w:val="101"/>
              </w:numPr>
              <w:tabs>
                <w:tab w:val="clear" w:pos="720"/>
                <w:tab w:val="left" w:pos="1152" w:leader="none"/>
              </w:tabs>
              <w:spacing w:before="100" w:after="100"/>
              <w:ind w:left="1152" w:hanging="450"/>
              <w:jc w:val="both"/>
              <w:rPr>
                <w:rFonts w:ascii="Arial" w:hAnsi="Arial" w:cs="Arial"/>
                <w:sz w:val="22"/>
                <w:szCs w:val="22"/>
                <w:lang w:val="en-GB"/>
              </w:rPr>
            </w:pPr>
            <w:bookmarkStart w:id="307" w:name="_Toc50260465"/>
            <w:bookmarkStart w:id="308" w:name="_Toc50259490"/>
            <w:bookmarkStart w:id="309" w:name="_Toc50198995"/>
            <w:r>
              <w:rPr>
                <w:rFonts w:cs="Arial" w:ascii="Arial" w:hAnsi="Arial"/>
                <w:sz w:val="22"/>
                <w:szCs w:val="22"/>
                <w:lang w:val="en-GB"/>
              </w:rPr>
              <w:t>Written confirmation</w:t>
            </w:r>
            <w:r>
              <w:rPr>
                <w:rFonts w:eastAsia="Times New Roman" w:cs="Arial" w:ascii="Arial" w:hAnsi="Arial"/>
                <w:spacing w:val="-4"/>
                <w:sz w:val="22"/>
                <w:szCs w:val="22"/>
                <w:lang w:val="en-GB" w:eastAsia="en-US"/>
              </w:rPr>
              <w:t xml:space="preserve"> authorizing the signatory of the Tender</w:t>
            </w:r>
            <w:r>
              <w:rPr>
                <w:rFonts w:cs="Arial" w:ascii="Arial" w:hAnsi="Arial"/>
                <w:sz w:val="22"/>
                <w:szCs w:val="22"/>
                <w:lang w:val="en-GB"/>
              </w:rPr>
              <w:t xml:space="preserve"> to commit the Tenderer; and</w:t>
            </w:r>
            <w:bookmarkStart w:id="310" w:name="_Toc50198996"/>
            <w:bookmarkStart w:id="311" w:name="_Toc50259491"/>
            <w:bookmarkStart w:id="312" w:name="_Toc50260466"/>
            <w:bookmarkEnd w:id="307"/>
            <w:bookmarkEnd w:id="308"/>
            <w:bookmarkEnd w:id="309"/>
          </w:p>
          <w:p>
            <w:pPr>
              <w:pStyle w:val="Normal"/>
              <w:widowControl w:val="false"/>
              <w:numPr>
                <w:ilvl w:val="0"/>
                <w:numId w:val="101"/>
              </w:numPr>
              <w:tabs>
                <w:tab w:val="clear" w:pos="720"/>
                <w:tab w:val="left" w:pos="1152" w:leader="none"/>
              </w:tabs>
              <w:spacing w:before="100" w:after="100"/>
              <w:ind w:left="1152" w:hanging="450"/>
              <w:jc w:val="both"/>
              <w:rPr>
                <w:rFonts w:ascii="Arial" w:hAnsi="Arial" w:cs="Arial"/>
                <w:spacing w:val="-4"/>
                <w:sz w:val="21"/>
                <w:szCs w:val="21"/>
                <w:lang w:val="en-GB"/>
              </w:rPr>
            </w:pPr>
            <w:r>
              <w:rPr>
                <w:rFonts w:cs="Arial" w:ascii="Arial" w:hAnsi="Arial"/>
                <w:sz w:val="22"/>
                <w:szCs w:val="22"/>
                <w:lang w:val="en-GB"/>
              </w:rPr>
              <w:t>Valid Tender Security</w:t>
            </w:r>
            <w:r>
              <w:rPr>
                <w:lang w:val="en-GB"/>
              </w:rPr>
              <w:t>.</w:t>
            </w:r>
            <w:bookmarkEnd w:id="310"/>
            <w:bookmarkEnd w:id="311"/>
            <w:bookmarkEnd w:id="312"/>
          </w:p>
        </w:tc>
      </w:tr>
      <w:tr>
        <w:trPr>
          <w:trHeight w:val="792" w:hRule="atLeast"/>
        </w:trPr>
        <w:tc>
          <w:tcPr>
            <w:tcW w:w="2222" w:type="dxa"/>
            <w:vMerge w:val="restart"/>
            <w:tcBorders/>
          </w:tcPr>
          <w:p>
            <w:pPr>
              <w:pStyle w:val="Normal"/>
              <w:widowControl w:val="false"/>
              <w:numPr>
                <w:ilvl w:val="0"/>
                <w:numId w:val="31"/>
              </w:numPr>
              <w:spacing w:before="80" w:after="80"/>
              <w:ind w:left="360" w:right="-108" w:hanging="346"/>
              <w:outlineLvl w:val="2"/>
              <w:rPr>
                <w:rStyle w:val="Heading3Char"/>
                <w:rFonts w:ascii="Arial" w:hAnsi="Arial"/>
                <w:b/>
                <w:b/>
                <w:sz w:val="22"/>
                <w:szCs w:val="22"/>
              </w:rPr>
            </w:pPr>
            <w:bookmarkStart w:id="313" w:name="_Toc421454242"/>
            <w:r>
              <w:rPr>
                <w:rStyle w:val="Heading3Char"/>
                <w:rFonts w:ascii="Arial" w:hAnsi="Arial"/>
                <w:b/>
                <w:sz w:val="22"/>
                <w:szCs w:val="22"/>
              </w:rPr>
              <w:t>Technical Examinations and Responsiveness</w:t>
            </w:r>
            <w:bookmarkEnd w:id="313"/>
          </w:p>
        </w:tc>
        <w:tc>
          <w:tcPr>
            <w:tcW w:w="7020" w:type="dxa"/>
            <w:gridSpan w:val="3"/>
            <w:tcBorders/>
          </w:tcPr>
          <w:p>
            <w:pPr>
              <w:pStyle w:val="SubClauseText"/>
              <w:widowControl w:val="false"/>
              <w:numPr>
                <w:ilvl w:val="0"/>
                <w:numId w:val="90"/>
              </w:numPr>
              <w:tabs>
                <w:tab w:val="clear" w:pos="720"/>
                <w:tab w:val="left" w:pos="612" w:leader="none"/>
              </w:tabs>
              <w:spacing w:before="120" w:after="100"/>
              <w:ind w:left="612" w:hanging="720"/>
              <w:rPr>
                <w:rFonts w:ascii="Arial" w:hAnsi="Arial" w:cs="Arial"/>
                <w:sz w:val="21"/>
                <w:szCs w:val="21"/>
                <w:lang w:val="en-GB"/>
              </w:rPr>
            </w:pPr>
            <w:r>
              <w:rPr>
                <w:rFonts w:cs="Arial" w:ascii="Arial" w:hAnsi="Arial"/>
                <w:sz w:val="22"/>
                <w:szCs w:val="22"/>
                <w:lang w:val="en-GB"/>
              </w:rPr>
              <w:t>TEC’s determination of a Tender’s responsiveness is to be based on the contents of the Tender itself without recourse to extrinsic evidence.</w:t>
            </w:r>
          </w:p>
        </w:tc>
      </w:tr>
      <w:tr>
        <w:trPr/>
        <w:tc>
          <w:tcPr>
            <w:tcW w:w="2222" w:type="dxa"/>
            <w:vMerge w:val="continue"/>
            <w:tcBorders/>
          </w:tcPr>
          <w:p>
            <w:pPr>
              <w:pStyle w:val="Normal"/>
              <w:widowControl w:val="false"/>
              <w:spacing w:before="120" w:after="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90"/>
              </w:numPr>
              <w:tabs>
                <w:tab w:val="clear" w:pos="720"/>
                <w:tab w:val="left" w:pos="549" w:leader="none"/>
                <w:tab w:val="left" w:pos="612" w:leader="none"/>
                <w:tab w:val="left" w:pos="655" w:leader="none"/>
              </w:tabs>
              <w:spacing w:before="120" w:after="120"/>
              <w:ind w:left="612" w:hanging="720"/>
              <w:rPr>
                <w:rFonts w:ascii="Arial" w:hAnsi="Arial" w:cs="Arial"/>
                <w:sz w:val="22"/>
                <w:szCs w:val="22"/>
                <w:lang w:val="en-GB"/>
              </w:rPr>
            </w:pPr>
            <w:r>
              <w:rPr>
                <w:rFonts w:cs="Arial" w:ascii="Arial" w:hAnsi="Arial"/>
                <w:sz w:val="22"/>
                <w:szCs w:val="22"/>
                <w:lang w:val="en-GB"/>
              </w:rPr>
              <w:t>A responsive Tender is one that conforms in all respects to the requirements of the Tender Document without material deviation, reservation, or omission.  A material deviation, reservation, or omission is one that:</w:t>
            </w:r>
          </w:p>
          <w:p>
            <w:pPr>
              <w:pStyle w:val="Normal"/>
              <w:widowControl w:val="false"/>
              <w:numPr>
                <w:ilvl w:val="1"/>
                <w:numId w:val="102"/>
              </w:numPr>
              <w:tabs>
                <w:tab w:val="clear" w:pos="720"/>
                <w:tab w:val="left" w:pos="1152" w:leader="none"/>
              </w:tabs>
              <w:spacing w:before="160" w:after="120"/>
              <w:ind w:left="1152" w:hanging="540"/>
              <w:jc w:val="both"/>
              <w:rPr>
                <w:rFonts w:ascii="Arial" w:hAnsi="Arial" w:cs="Arial"/>
                <w:sz w:val="22"/>
                <w:szCs w:val="22"/>
                <w:lang w:val="en-GB"/>
              </w:rPr>
            </w:pPr>
            <w:r>
              <w:rPr>
                <w:rFonts w:cs="Arial" w:ascii="Arial" w:hAnsi="Arial"/>
                <w:sz w:val="22"/>
                <w:szCs w:val="22"/>
                <w:lang w:val="en-GB"/>
              </w:rPr>
              <w:t>affects in any substantial way the scope, quality, or performance of the Goods and related services specified in the Contract; or</w:t>
            </w:r>
          </w:p>
          <w:p>
            <w:pPr>
              <w:pStyle w:val="Normal"/>
              <w:widowControl w:val="false"/>
              <w:numPr>
                <w:ilvl w:val="1"/>
                <w:numId w:val="102"/>
              </w:numPr>
              <w:tabs>
                <w:tab w:val="clear" w:pos="720"/>
                <w:tab w:val="left" w:pos="1152" w:leader="none"/>
              </w:tabs>
              <w:spacing w:before="160" w:after="120"/>
              <w:ind w:left="1152" w:hanging="540"/>
              <w:jc w:val="both"/>
              <w:rPr>
                <w:rFonts w:ascii="Arial" w:hAnsi="Arial" w:cs="Arial"/>
                <w:sz w:val="22"/>
                <w:szCs w:val="22"/>
                <w:lang w:val="en-GB"/>
              </w:rPr>
            </w:pPr>
            <w:r>
              <w:rPr>
                <w:rFonts w:cs="Arial" w:ascii="Arial" w:hAnsi="Arial"/>
                <w:sz w:val="22"/>
                <w:szCs w:val="22"/>
                <w:lang w:val="en-GB"/>
              </w:rPr>
              <w:t>limits in any substantial way, or is inconsistent with the Tender Documents, the Procuring Entity’s rights or the Tenderer’s obligations under the Contract; or</w:t>
            </w:r>
          </w:p>
          <w:p>
            <w:pPr>
              <w:pStyle w:val="Normal"/>
              <w:widowControl w:val="false"/>
              <w:numPr>
                <w:ilvl w:val="1"/>
                <w:numId w:val="102"/>
              </w:numPr>
              <w:tabs>
                <w:tab w:val="clear" w:pos="720"/>
                <w:tab w:val="left" w:pos="1152" w:leader="none"/>
              </w:tabs>
              <w:spacing w:before="160" w:after="120"/>
              <w:ind w:left="1152" w:hanging="540"/>
              <w:jc w:val="both"/>
              <w:rPr>
                <w:rFonts w:ascii="Arial" w:hAnsi="Arial" w:cs="Arial"/>
                <w:sz w:val="21"/>
                <w:szCs w:val="21"/>
                <w:lang w:val="en-GB"/>
              </w:rPr>
            </w:pPr>
            <w:r>
              <w:rPr>
                <w:rFonts w:cs="Arial" w:ascii="Arial" w:hAnsi="Arial"/>
                <w:sz w:val="22"/>
                <w:szCs w:val="22"/>
                <w:lang w:val="en-GB"/>
              </w:rPr>
              <w:t>if rectified would unfairly affect the competitive position of other Tenderers presenting responsive tenders.</w:t>
            </w:r>
          </w:p>
          <w:p>
            <w:pPr>
              <w:pStyle w:val="SubClauseText"/>
              <w:keepLines/>
              <w:widowControl w:val="false"/>
              <w:tabs>
                <w:tab w:val="clear" w:pos="720"/>
                <w:tab w:val="left" w:pos="612" w:leader="none"/>
              </w:tabs>
              <w:spacing w:before="160" w:after="120"/>
              <w:ind w:left="612" w:right="-198" w:hanging="720"/>
              <w:rPr>
                <w:rFonts w:ascii="Arial" w:hAnsi="Arial" w:cs="Arial"/>
                <w:bCs/>
                <w:sz w:val="22"/>
                <w:szCs w:val="22"/>
                <w:lang w:val="en-GB"/>
              </w:rPr>
            </w:pPr>
            <w:r>
              <w:rPr>
                <w:rFonts w:cs="Arial" w:ascii="Arial" w:hAnsi="Arial"/>
                <w:bCs/>
                <w:sz w:val="22"/>
                <w:szCs w:val="22"/>
                <w:lang w:val="en-GB"/>
              </w:rPr>
              <w:t>During the evaluation of Tenders, the following definitions shall apply:</w:t>
            </w:r>
          </w:p>
          <w:p>
            <w:pPr>
              <w:pStyle w:val="SubClauseText"/>
              <w:keepLines/>
              <w:widowControl w:val="false"/>
              <w:tabs>
                <w:tab w:val="clear" w:pos="720"/>
                <w:tab w:val="left" w:pos="612" w:leader="none"/>
              </w:tabs>
              <w:spacing w:before="160" w:after="120"/>
              <w:ind w:left="612" w:hanging="90"/>
              <w:rPr>
                <w:rFonts w:ascii="Arial" w:hAnsi="Arial" w:cs="Arial"/>
                <w:bCs/>
                <w:sz w:val="18"/>
                <w:szCs w:val="18"/>
                <w:lang w:val="en-GB"/>
              </w:rPr>
            </w:pPr>
            <w:r>
              <w:rPr>
                <w:rFonts w:cs="Arial" w:ascii="Arial" w:hAnsi="Arial"/>
                <w:b/>
                <w:bCs/>
                <w:sz w:val="18"/>
                <w:szCs w:val="18"/>
                <w:lang w:val="en-GB"/>
              </w:rPr>
              <w:t>“</w:t>
            </w:r>
            <w:r>
              <w:rPr>
                <w:rFonts w:cs="Arial" w:ascii="Arial" w:hAnsi="Arial"/>
                <w:b/>
                <w:bCs/>
                <w:sz w:val="18"/>
                <w:szCs w:val="18"/>
                <w:lang w:val="en-GB"/>
              </w:rPr>
              <w:t>Deviation”</w:t>
            </w:r>
            <w:r>
              <w:rPr>
                <w:rFonts w:cs="Arial" w:ascii="Arial" w:hAnsi="Arial"/>
                <w:bCs/>
                <w:sz w:val="18"/>
                <w:szCs w:val="18"/>
                <w:lang w:val="en-GB"/>
              </w:rPr>
              <w:t xml:space="preserve"> is a departure from the requirements specified in the Tender Document;</w:t>
            </w:r>
          </w:p>
          <w:p>
            <w:pPr>
              <w:pStyle w:val="SubClauseText"/>
              <w:keepLines/>
              <w:widowControl w:val="false"/>
              <w:tabs>
                <w:tab w:val="clear" w:pos="720"/>
                <w:tab w:val="left" w:pos="612" w:leader="none"/>
              </w:tabs>
              <w:spacing w:before="160" w:after="120"/>
              <w:ind w:left="612" w:hanging="90"/>
              <w:rPr>
                <w:rFonts w:ascii="Arial" w:hAnsi="Arial" w:cs="Arial"/>
                <w:bCs/>
                <w:sz w:val="18"/>
                <w:szCs w:val="18"/>
                <w:lang w:val="en-GB"/>
              </w:rPr>
            </w:pPr>
            <w:r>
              <w:rPr>
                <w:rFonts w:cs="Arial" w:ascii="Arial" w:hAnsi="Arial"/>
                <w:b/>
                <w:bCs/>
                <w:sz w:val="18"/>
                <w:szCs w:val="18"/>
                <w:lang w:val="en-GB"/>
              </w:rPr>
              <w:t>“</w:t>
            </w:r>
            <w:r>
              <w:rPr>
                <w:rFonts w:cs="Arial" w:ascii="Arial" w:hAnsi="Arial"/>
                <w:b/>
                <w:bCs/>
                <w:sz w:val="18"/>
                <w:szCs w:val="18"/>
                <w:lang w:val="en-GB"/>
              </w:rPr>
              <w:t>Reservation”</w:t>
            </w:r>
            <w:r>
              <w:rPr>
                <w:rFonts w:cs="Arial" w:ascii="Arial" w:hAnsi="Arial"/>
                <w:bCs/>
                <w:sz w:val="18"/>
                <w:szCs w:val="18"/>
                <w:lang w:val="en-GB"/>
              </w:rPr>
              <w:t xml:space="preserve"> is the setting of limiting conditions or withholding from complete acceptance of the requirements specified in the Tender Document; and</w:t>
            </w:r>
          </w:p>
          <w:p>
            <w:pPr>
              <w:pStyle w:val="Normal"/>
              <w:widowControl w:val="false"/>
              <w:tabs>
                <w:tab w:val="clear" w:pos="720"/>
                <w:tab w:val="left" w:pos="612" w:leader="none"/>
              </w:tabs>
              <w:spacing w:before="160" w:after="120"/>
              <w:ind w:left="612" w:hanging="90"/>
              <w:jc w:val="both"/>
              <w:rPr>
                <w:rFonts w:ascii="Arial" w:hAnsi="Arial" w:cs="Arial"/>
                <w:sz w:val="21"/>
                <w:szCs w:val="21"/>
                <w:lang w:val="en-GB"/>
              </w:rPr>
            </w:pPr>
            <w:r>
              <w:rPr>
                <w:rFonts w:cs="Arial" w:ascii="Arial" w:hAnsi="Arial"/>
                <w:b/>
                <w:bCs/>
                <w:sz w:val="18"/>
                <w:szCs w:val="18"/>
                <w:lang w:val="en-GB"/>
              </w:rPr>
              <w:t>“</w:t>
            </w:r>
            <w:r>
              <w:rPr>
                <w:rFonts w:cs="Arial" w:ascii="Arial" w:hAnsi="Arial"/>
                <w:b/>
                <w:bCs/>
                <w:sz w:val="18"/>
                <w:szCs w:val="18"/>
                <w:lang w:val="en-GB"/>
              </w:rPr>
              <w:t>Omission”</w:t>
            </w:r>
            <w:r>
              <w:rPr>
                <w:rFonts w:cs="Arial" w:ascii="Arial" w:hAnsi="Arial"/>
                <w:bCs/>
                <w:sz w:val="18"/>
                <w:szCs w:val="18"/>
                <w:lang w:val="en-GB"/>
              </w:rPr>
              <w:t xml:space="preserve"> is the failure to submit part or all of the information or documentation required in the Tender Document.</w:t>
            </w:r>
          </w:p>
        </w:tc>
      </w:tr>
      <w:tr>
        <w:trPr/>
        <w:tc>
          <w:tcPr>
            <w:tcW w:w="2222" w:type="dxa"/>
            <w:vMerge w:val="continue"/>
            <w:tcBorders/>
          </w:tcPr>
          <w:p>
            <w:pPr>
              <w:pStyle w:val="Normal"/>
              <w:widowControl w:val="false"/>
              <w:spacing w:before="120" w:after="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90"/>
              </w:numPr>
              <w:tabs>
                <w:tab w:val="clear" w:pos="720"/>
                <w:tab w:val="left" w:pos="549" w:leader="none"/>
                <w:tab w:val="left" w:pos="655" w:leader="none"/>
              </w:tabs>
              <w:spacing w:before="120" w:after="80"/>
              <w:ind w:left="585" w:hanging="693"/>
              <w:rPr>
                <w:rFonts w:ascii="Arial" w:hAnsi="Arial" w:cs="Arial"/>
                <w:sz w:val="22"/>
                <w:szCs w:val="22"/>
                <w:lang w:val="en-GB"/>
              </w:rPr>
            </w:pPr>
            <w:r>
              <w:rPr>
                <w:rFonts w:cs="Arial" w:ascii="Arial" w:hAnsi="Arial"/>
                <w:sz w:val="22"/>
                <w:szCs w:val="22"/>
                <w:lang w:val="en-GB"/>
              </w:rPr>
              <w:t>If a Tender is not responsive to the mandatory requirements set out in the Tender Document, shall not subsequently be made responsive by the Tenderer by correction of the material deviation, reservation, or omission.</w:t>
            </w:r>
          </w:p>
        </w:tc>
      </w:tr>
      <w:tr>
        <w:trPr/>
        <w:tc>
          <w:tcPr>
            <w:tcW w:w="2222" w:type="dxa"/>
            <w:vMerge w:val="continue"/>
            <w:tcBorders/>
          </w:tcPr>
          <w:p>
            <w:pPr>
              <w:pStyle w:val="Normal"/>
              <w:widowControl w:val="false"/>
              <w:spacing w:before="120" w:after="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90"/>
              </w:numPr>
              <w:tabs>
                <w:tab w:val="clear" w:pos="720"/>
                <w:tab w:val="left" w:pos="549" w:leader="none"/>
              </w:tabs>
              <w:spacing w:before="120" w:after="80"/>
              <w:ind w:left="585" w:hanging="693"/>
              <w:rPr>
                <w:rFonts w:ascii="Arial" w:hAnsi="Arial" w:cs="Arial"/>
                <w:sz w:val="21"/>
                <w:szCs w:val="21"/>
                <w:lang w:val="en-GB"/>
              </w:rPr>
            </w:pPr>
            <w:r>
              <w:rPr>
                <w:rFonts w:cs="Arial" w:ascii="Arial" w:hAnsi="Arial"/>
                <w:sz w:val="22"/>
                <w:szCs w:val="22"/>
                <w:lang w:val="en-GB"/>
              </w:rPr>
              <w:t>There shall be no requirement as to the minimum number of responsive tenders.</w:t>
            </w:r>
          </w:p>
        </w:tc>
      </w:tr>
      <w:tr>
        <w:trPr/>
        <w:tc>
          <w:tcPr>
            <w:tcW w:w="2222" w:type="dxa"/>
            <w:vMerge w:val="continue"/>
            <w:tcBorders/>
          </w:tcPr>
          <w:p>
            <w:pPr>
              <w:pStyle w:val="Normal"/>
              <w:widowControl w:val="false"/>
              <w:spacing w:before="120" w:after="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90"/>
              </w:numPr>
              <w:tabs>
                <w:tab w:val="clear" w:pos="720"/>
                <w:tab w:val="left" w:pos="549" w:leader="none"/>
              </w:tabs>
              <w:spacing w:before="120" w:after="80"/>
              <w:ind w:left="585" w:hanging="693"/>
              <w:rPr>
                <w:rFonts w:ascii="Arial" w:hAnsi="Arial" w:cs="Arial"/>
                <w:sz w:val="22"/>
                <w:szCs w:val="22"/>
                <w:lang w:val="en-GB"/>
              </w:rPr>
            </w:pPr>
            <w:r>
              <w:rPr>
                <w:rFonts w:cs="Arial" w:ascii="Arial" w:hAnsi="Arial"/>
                <w:sz w:val="22"/>
                <w:szCs w:val="22"/>
                <w:lang w:val="en-GB"/>
              </w:rPr>
              <w:t>There shall be no automatic exclusion of Tenders which are above or below the official estimate.</w:t>
            </w:r>
          </w:p>
        </w:tc>
      </w:tr>
      <w:tr>
        <w:trPr/>
        <w:tc>
          <w:tcPr>
            <w:tcW w:w="2222" w:type="dxa"/>
            <w:vMerge w:val="continue"/>
            <w:tcBorders/>
          </w:tcPr>
          <w:p>
            <w:pPr>
              <w:pStyle w:val="Normal"/>
              <w:widowControl w:val="false"/>
              <w:spacing w:before="120" w:after="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90"/>
              </w:numPr>
              <w:tabs>
                <w:tab w:val="clear" w:pos="720"/>
                <w:tab w:val="left" w:pos="567" w:leader="none"/>
              </w:tabs>
              <w:spacing w:before="120" w:after="80"/>
              <w:ind w:left="585" w:hanging="693"/>
              <w:rPr>
                <w:rFonts w:ascii="Arial" w:hAnsi="Arial" w:cs="Arial"/>
                <w:color w:val="000000"/>
                <w:spacing w:val="0"/>
                <w:sz w:val="22"/>
                <w:szCs w:val="22"/>
                <w:lang w:val="en-GB"/>
              </w:rPr>
            </w:pPr>
            <w:r>
              <w:rPr>
                <w:rFonts w:cs="Arial" w:ascii="Arial" w:hAnsi="Arial"/>
                <w:color w:val="000000"/>
                <w:spacing w:val="0"/>
                <w:sz w:val="22"/>
                <w:szCs w:val="22"/>
                <w:lang w:val="en-GB"/>
              </w:rPr>
              <w:t>TEC will examine the adequacy and authenticity of the documentary evidence which may follow the order below:</w:t>
            </w:r>
          </w:p>
          <w:p>
            <w:pPr>
              <w:pStyle w:val="Normal"/>
              <w:widowControl w:val="false"/>
              <w:numPr>
                <w:ilvl w:val="0"/>
                <w:numId w:val="27"/>
              </w:numPr>
              <w:tabs>
                <w:tab w:val="clear" w:pos="720"/>
                <w:tab w:val="left" w:pos="1152" w:leader="none"/>
              </w:tabs>
              <w:spacing w:before="120" w:after="80"/>
              <w:ind w:left="1152" w:hanging="270"/>
              <w:jc w:val="both"/>
              <w:rPr>
                <w:rFonts w:ascii="Arial" w:hAnsi="Arial" w:cs="Arial"/>
                <w:color w:val="000000"/>
                <w:sz w:val="22"/>
                <w:szCs w:val="22"/>
                <w:lang w:val="en-GB"/>
              </w:rPr>
            </w:pPr>
            <w:r>
              <w:rPr>
                <w:rFonts w:cs="Arial" w:ascii="Arial" w:hAnsi="Arial"/>
                <w:color w:val="000000"/>
                <w:sz w:val="22"/>
                <w:szCs w:val="22"/>
                <w:lang w:val="en-GB"/>
              </w:rPr>
              <w:t>verification of the completeness of the country of origin declaration in the Price Schedule for Goods and related services (</w:t>
            </w:r>
            <w:r>
              <w:rPr>
                <w:rFonts w:cs="Arial" w:ascii="Arial" w:hAnsi="Arial"/>
                <w:b/>
                <w:color w:val="000000"/>
                <w:sz w:val="22"/>
                <w:szCs w:val="22"/>
                <w:lang w:val="en-GB"/>
              </w:rPr>
              <w:t>Form PG3-4A and 4B</w:t>
            </w:r>
            <w:r>
              <w:rPr>
                <w:rFonts w:cs="Arial" w:ascii="Arial" w:hAnsi="Arial"/>
                <w:color w:val="000000"/>
                <w:sz w:val="22"/>
                <w:szCs w:val="22"/>
                <w:lang w:val="en-GB"/>
              </w:rPr>
              <w:t>)  to determine the eligibility of the Goods and related services.</w:t>
            </w:r>
          </w:p>
          <w:p>
            <w:pPr>
              <w:pStyle w:val="Normal"/>
              <w:widowControl w:val="false"/>
              <w:numPr>
                <w:ilvl w:val="0"/>
                <w:numId w:val="27"/>
              </w:numPr>
              <w:tabs>
                <w:tab w:val="clear" w:pos="720"/>
                <w:tab w:val="left" w:pos="1152" w:leader="none"/>
              </w:tabs>
              <w:spacing w:before="120" w:after="80"/>
              <w:ind w:left="1152" w:hanging="270"/>
              <w:jc w:val="both"/>
              <w:rPr>
                <w:rFonts w:ascii="Arial" w:hAnsi="Arial" w:cs="Arial"/>
                <w:color w:val="000000"/>
                <w:sz w:val="22"/>
                <w:szCs w:val="22"/>
                <w:lang w:val="en-GB"/>
              </w:rPr>
            </w:pPr>
            <w:r>
              <w:rPr>
                <w:rFonts w:cs="Arial" w:ascii="Arial" w:hAnsi="Arial"/>
                <w:color w:val="000000"/>
                <w:sz w:val="22"/>
                <w:szCs w:val="22"/>
                <w:lang w:val="en-GB"/>
              </w:rPr>
              <w:t xml:space="preserve"> </w:t>
            </w:r>
            <w:r>
              <w:rPr>
                <w:rFonts w:cs="Arial" w:ascii="Arial" w:hAnsi="Arial"/>
                <w:color w:val="000000"/>
                <w:sz w:val="22"/>
                <w:szCs w:val="22"/>
                <w:lang w:val="en-GB"/>
              </w:rPr>
              <w:t xml:space="preserve">verification and examination of  the documentary evidence and completed Specification Submission Sheet </w:t>
            </w:r>
            <w:r>
              <w:rPr>
                <w:rFonts w:cs="Arial" w:ascii="Arial" w:hAnsi="Arial"/>
                <w:b/>
                <w:color w:val="000000"/>
                <w:sz w:val="22"/>
                <w:szCs w:val="22"/>
                <w:lang w:val="en-GB"/>
              </w:rPr>
              <w:t>(Form PG3-5</w:t>
            </w:r>
            <w:r>
              <w:rPr>
                <w:rFonts w:cs="Arial" w:ascii="Arial" w:hAnsi="Arial"/>
                <w:color w:val="000000"/>
                <w:sz w:val="22"/>
                <w:szCs w:val="22"/>
                <w:lang w:val="en-GB"/>
              </w:rPr>
              <w:t>) to determine the conformity of the Goods and related services .</w:t>
            </w:r>
          </w:p>
          <w:p>
            <w:pPr>
              <w:pStyle w:val="Normal"/>
              <w:widowControl w:val="false"/>
              <w:numPr>
                <w:ilvl w:val="0"/>
                <w:numId w:val="27"/>
              </w:numPr>
              <w:tabs>
                <w:tab w:val="clear" w:pos="720"/>
                <w:tab w:val="left" w:pos="1152" w:leader="none"/>
              </w:tabs>
              <w:spacing w:before="120" w:after="80"/>
              <w:ind w:left="1152" w:hanging="270"/>
              <w:jc w:val="both"/>
              <w:rPr>
                <w:rFonts w:ascii="Arial" w:hAnsi="Arial" w:cs="Arial"/>
                <w:sz w:val="21"/>
                <w:szCs w:val="21"/>
                <w:lang w:val="en-GB"/>
              </w:rPr>
            </w:pPr>
            <w:r>
              <w:rPr>
                <w:rFonts w:cs="Arial" w:ascii="Arial" w:hAnsi="Arial"/>
                <w:color w:val="000000"/>
                <w:sz w:val="22"/>
                <w:szCs w:val="22"/>
                <w:lang w:val="en-GB"/>
              </w:rPr>
              <w:t>verification and examination of the documentary evidence that the Tenderer’s qualifications conform to the Tender Document and the Tenderer meets each of the qualification criterion specified in Sub Section C, Qualification Criteria.</w:t>
            </w:r>
          </w:p>
        </w:tc>
      </w:tr>
      <w:tr>
        <w:trPr/>
        <w:tc>
          <w:tcPr>
            <w:tcW w:w="2222" w:type="dxa"/>
            <w:vMerge w:val="continue"/>
            <w:tcBorders/>
          </w:tcPr>
          <w:p>
            <w:pPr>
              <w:pStyle w:val="Normal"/>
              <w:widowControl w:val="false"/>
              <w:spacing w:before="120" w:after="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90"/>
              </w:numPr>
              <w:tabs>
                <w:tab w:val="clear" w:pos="720"/>
                <w:tab w:val="left" w:pos="567" w:leader="none"/>
              </w:tabs>
              <w:spacing w:before="120" w:after="80"/>
              <w:ind w:left="585" w:hanging="576"/>
              <w:rPr>
                <w:rFonts w:ascii="Arial" w:hAnsi="Arial" w:cs="Arial"/>
                <w:color w:val="000000"/>
                <w:spacing w:val="0"/>
                <w:sz w:val="22"/>
                <w:szCs w:val="22"/>
                <w:lang w:val="en-GB"/>
              </w:rPr>
            </w:pPr>
            <w:r>
              <w:rPr>
                <w:rFonts w:cs="Arial" w:ascii="Arial" w:hAnsi="Arial"/>
                <w:sz w:val="22"/>
                <w:szCs w:val="22"/>
                <w:lang w:val="en-GB"/>
              </w:rPr>
              <w:t>Provided that a Tender is responsive, TEC may request that the Tenderer submit the necessary information or documentation, within a reasonable period of time, to rectify nonmaterial nonconformities or omissions in the Tender related to documentation requirements.  Such omission shall not be related to any aspect of the rates of the Tender reflected in the completed Price Schedule or any mandatory criteria. Failure of the Tenderer to comply with the request may result in the consideration of its Tender as non-responsive.</w:t>
            </w:r>
          </w:p>
        </w:tc>
      </w:tr>
      <w:tr>
        <w:trPr/>
        <w:tc>
          <w:tcPr>
            <w:tcW w:w="2222" w:type="dxa"/>
            <w:tcBorders/>
          </w:tcPr>
          <w:p>
            <w:pPr>
              <w:pStyle w:val="Normal"/>
              <w:widowControl w:val="false"/>
              <w:spacing w:before="120" w:after="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90"/>
              </w:numPr>
              <w:tabs>
                <w:tab w:val="clear" w:pos="720"/>
                <w:tab w:val="left" w:pos="567" w:leader="none"/>
                <w:tab w:val="left" w:pos="2880" w:leader="none"/>
              </w:tabs>
              <w:spacing w:before="120" w:after="80"/>
              <w:ind w:left="585" w:hanging="576"/>
              <w:rPr>
                <w:rFonts w:ascii="Arial" w:hAnsi="Arial" w:cs="Arial"/>
                <w:sz w:val="22"/>
                <w:szCs w:val="22"/>
                <w:lang w:val="en-GB"/>
              </w:rPr>
            </w:pPr>
            <w:r>
              <w:rPr>
                <w:rFonts w:cs="Arial" w:ascii="Arial" w:hAnsi="Arial"/>
                <w:sz w:val="22"/>
                <w:szCs w:val="22"/>
                <w:lang w:val="en-GB"/>
              </w:rPr>
              <w:t>The TEC  may regard a Tender as responsive even if it contains;</w:t>
            </w:r>
          </w:p>
          <w:p>
            <w:pPr>
              <w:pStyle w:val="SubClauseText"/>
              <w:keepLines/>
              <w:widowControl w:val="false"/>
              <w:numPr>
                <w:ilvl w:val="1"/>
                <w:numId w:val="90"/>
              </w:numPr>
              <w:tabs>
                <w:tab w:val="clear" w:pos="720"/>
                <w:tab w:val="left" w:pos="882" w:leader="none"/>
              </w:tabs>
              <w:spacing w:before="120" w:after="80"/>
              <w:ind w:left="882" w:hanging="360"/>
              <w:rPr>
                <w:rFonts w:ascii="Arial" w:hAnsi="Arial" w:cs="Arial"/>
                <w:sz w:val="22"/>
                <w:szCs w:val="22"/>
                <w:lang w:val="en-GB"/>
              </w:rPr>
            </w:pPr>
            <w:r>
              <w:rPr>
                <w:rFonts w:cs="Arial" w:ascii="Arial" w:hAnsi="Arial"/>
                <w:sz w:val="22"/>
                <w:szCs w:val="22"/>
                <w:lang w:val="en-GB"/>
              </w:rPr>
              <w:t>minor or insignificant deviations  which do not meaningfully alter or depart from the technical specifications, characteristics and commercial terms and, conditions or other mandatory requirements set out  in the Tender Document; or</w:t>
            </w:r>
          </w:p>
          <w:p>
            <w:pPr>
              <w:pStyle w:val="SubClauseText"/>
              <w:keepLines/>
              <w:widowControl w:val="false"/>
              <w:numPr>
                <w:ilvl w:val="1"/>
                <w:numId w:val="90"/>
              </w:numPr>
              <w:tabs>
                <w:tab w:val="clear" w:pos="720"/>
                <w:tab w:val="left" w:pos="882" w:leader="none"/>
              </w:tabs>
              <w:spacing w:before="120" w:after="80"/>
              <w:ind w:left="882" w:hanging="360"/>
              <w:rPr>
                <w:rFonts w:ascii="Arial" w:hAnsi="Arial" w:cs="Arial"/>
                <w:sz w:val="22"/>
                <w:szCs w:val="22"/>
                <w:lang w:val="en-GB"/>
              </w:rPr>
            </w:pPr>
            <w:r>
              <w:rPr>
                <w:rFonts w:cs="Arial" w:ascii="Arial" w:hAnsi="Arial"/>
                <w:sz w:val="22"/>
                <w:szCs w:val="22"/>
                <w:lang w:val="en-GB"/>
              </w:rPr>
              <w:t>errors or oversights, that if corrected, would not alter the key aspects  of the Tender.</w:t>
            </w:r>
          </w:p>
        </w:tc>
      </w:tr>
      <w:tr>
        <w:trPr/>
        <w:tc>
          <w:tcPr>
            <w:tcW w:w="2222" w:type="dxa"/>
            <w:vMerge w:val="restart"/>
            <w:tcBorders/>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314" w:name="_Toc421454243"/>
            <w:r>
              <w:rPr>
                <w:rStyle w:val="Heading3Char"/>
                <w:rFonts w:ascii="Arial" w:hAnsi="Arial"/>
                <w:b/>
                <w:sz w:val="22"/>
                <w:szCs w:val="22"/>
              </w:rPr>
              <w:t>Clarification on Tender</w:t>
            </w:r>
            <w:bookmarkEnd w:id="314"/>
          </w:p>
        </w:tc>
        <w:tc>
          <w:tcPr>
            <w:tcW w:w="7020" w:type="dxa"/>
            <w:gridSpan w:val="3"/>
            <w:tcBorders/>
          </w:tcPr>
          <w:p>
            <w:pPr>
              <w:pStyle w:val="Normal"/>
              <w:widowControl w:val="false"/>
              <w:numPr>
                <w:ilvl w:val="0"/>
                <w:numId w:val="28"/>
              </w:numPr>
              <w:tabs>
                <w:tab w:val="clear" w:pos="720"/>
              </w:tabs>
              <w:spacing w:before="120" w:after="80"/>
              <w:ind w:left="612" w:hanging="612"/>
              <w:jc w:val="both"/>
              <w:rPr>
                <w:rFonts w:ascii="Arial" w:hAnsi="Arial" w:cs="Arial"/>
                <w:sz w:val="22"/>
                <w:szCs w:val="22"/>
              </w:rPr>
            </w:pPr>
            <w:r>
              <w:rPr>
                <w:rFonts w:eastAsia="Times New Roman" w:cs="Arial" w:ascii="Arial" w:hAnsi="Arial"/>
                <w:spacing w:val="-4"/>
                <w:sz w:val="22"/>
                <w:szCs w:val="22"/>
                <w:lang w:val="en-GB" w:eastAsia="en-US"/>
              </w:rPr>
              <w:t>TEC may ask Tenderers for clarification of their Tenders, in order to facilitate the examination and evaluation of Tenders. The request for clarification by the TEC and the response from the Tenderer shallbe in writing, and Tender clarifications which may lead to a change in the substance of the Tender or in any of the key elements of the Tender as stated under ITT Sub Clause 49.2, will neither be sought nor be permitted.</w:t>
            </w:r>
          </w:p>
        </w:tc>
      </w:tr>
      <w:tr>
        <w:trPr/>
        <w:tc>
          <w:tcPr>
            <w:tcW w:w="2222" w:type="dxa"/>
            <w:vMerge w:val="continue"/>
            <w:tcBorders/>
            <w:shd w:color="auto" w:fill="auto" w:val="clear"/>
          </w:tcPr>
          <w:p>
            <w:pPr>
              <w:pStyle w:val="Normal"/>
              <w:widowControl w:val="false"/>
              <w:spacing w:before="120" w:after="0"/>
              <w:rPr>
                <w:rFonts w:ascii="Arial" w:hAnsi="Arial" w:cs="Arial"/>
                <w:sz w:val="21"/>
                <w:szCs w:val="21"/>
              </w:rPr>
            </w:pPr>
            <w:r>
              <w:rPr>
                <w:rFonts w:cs="Arial" w:ascii="Arial" w:hAnsi="Arial"/>
                <w:sz w:val="21"/>
                <w:szCs w:val="21"/>
              </w:rPr>
            </w:r>
          </w:p>
        </w:tc>
        <w:tc>
          <w:tcPr>
            <w:tcW w:w="7020" w:type="dxa"/>
            <w:gridSpan w:val="3"/>
            <w:tcBorders/>
          </w:tcPr>
          <w:p>
            <w:pPr>
              <w:pStyle w:val="Normal"/>
              <w:widowControl w:val="false"/>
              <w:numPr>
                <w:ilvl w:val="0"/>
                <w:numId w:val="28"/>
              </w:numPr>
              <w:tabs>
                <w:tab w:val="clear" w:pos="720"/>
              </w:tabs>
              <w:spacing w:before="120" w:after="80"/>
              <w:ind w:left="612" w:hanging="612"/>
              <w:jc w:val="both"/>
              <w:rPr>
                <w:rFonts w:ascii="Arial" w:hAnsi="Arial" w:cs="Arial"/>
                <w:sz w:val="22"/>
                <w:szCs w:val="22"/>
              </w:rPr>
            </w:pPr>
            <w:r>
              <w:rPr>
                <w:rFonts w:cs="Arial" w:ascii="Arial" w:hAnsi="Arial"/>
                <w:sz w:val="22"/>
                <w:szCs w:val="22"/>
              </w:rPr>
              <w:t>Change in the Tender price shall not be sought or permitted, except to confirm correction of arithmetical errors discovered by the Procuring Entity in the evaluation of the Tender, as sated under ITT Clause 51.</w:t>
            </w:r>
          </w:p>
        </w:tc>
      </w:tr>
      <w:tr>
        <w:trPr/>
        <w:tc>
          <w:tcPr>
            <w:tcW w:w="2222" w:type="dxa"/>
            <w:vMerge w:val="continue"/>
            <w:tcBorders/>
            <w:shd w:color="auto" w:fill="auto" w:val="clear"/>
          </w:tcPr>
          <w:p>
            <w:pPr>
              <w:pStyle w:val="Normal"/>
              <w:widowControl w:val="false"/>
              <w:spacing w:before="120" w:after="0"/>
              <w:rPr>
                <w:rFonts w:ascii="Arial" w:hAnsi="Arial" w:cs="Arial"/>
                <w:sz w:val="21"/>
                <w:szCs w:val="21"/>
              </w:rPr>
            </w:pPr>
            <w:r>
              <w:rPr>
                <w:rFonts w:cs="Arial" w:ascii="Arial" w:hAnsi="Arial"/>
                <w:sz w:val="21"/>
                <w:szCs w:val="21"/>
              </w:rPr>
            </w:r>
          </w:p>
        </w:tc>
        <w:tc>
          <w:tcPr>
            <w:tcW w:w="7020" w:type="dxa"/>
            <w:gridSpan w:val="3"/>
            <w:tcBorders/>
          </w:tcPr>
          <w:p>
            <w:pPr>
              <w:pStyle w:val="Normal"/>
              <w:widowControl w:val="false"/>
              <w:numPr>
                <w:ilvl w:val="0"/>
                <w:numId w:val="28"/>
              </w:numPr>
              <w:tabs>
                <w:tab w:val="clear" w:pos="720"/>
              </w:tabs>
              <w:spacing w:before="120" w:after="80"/>
              <w:ind w:left="612" w:hanging="612"/>
              <w:jc w:val="both"/>
              <w:rPr>
                <w:rFonts w:ascii="Arial" w:hAnsi="Arial" w:cs="Arial"/>
                <w:sz w:val="22"/>
                <w:szCs w:val="22"/>
              </w:rPr>
            </w:pPr>
            <w:r>
              <w:rPr>
                <w:rFonts w:cs="Arial" w:ascii="Arial" w:hAnsi="Arial"/>
                <w:sz w:val="22"/>
                <w:szCs w:val="22"/>
                <w:lang w:val="en-GB"/>
              </w:rPr>
              <w:t>Any request for clarifications by the TEC shall not be directed towards making an apparently non-responsive Tender responsive and reciprocally the response from the concerned Tenderer shall not be articulated towards any addition, alteration or modification to its Tender.</w:t>
            </w:r>
          </w:p>
        </w:tc>
      </w:tr>
      <w:tr>
        <w:trPr/>
        <w:tc>
          <w:tcPr>
            <w:tcW w:w="2222" w:type="dxa"/>
            <w:vMerge w:val="continue"/>
            <w:tcBorders/>
            <w:shd w:color="auto" w:fill="auto" w:val="clear"/>
          </w:tcPr>
          <w:p>
            <w:pPr>
              <w:pStyle w:val="Normal"/>
              <w:widowControl w:val="false"/>
              <w:spacing w:before="120" w:after="0"/>
              <w:rPr>
                <w:rFonts w:ascii="Arial" w:hAnsi="Arial" w:cs="Arial"/>
                <w:sz w:val="21"/>
                <w:szCs w:val="21"/>
              </w:rPr>
            </w:pPr>
            <w:r>
              <w:rPr>
                <w:rFonts w:cs="Arial" w:ascii="Arial" w:hAnsi="Arial"/>
                <w:sz w:val="21"/>
                <w:szCs w:val="21"/>
              </w:rPr>
            </w:r>
          </w:p>
        </w:tc>
        <w:tc>
          <w:tcPr>
            <w:tcW w:w="7020" w:type="dxa"/>
            <w:gridSpan w:val="3"/>
            <w:tcBorders/>
          </w:tcPr>
          <w:p>
            <w:pPr>
              <w:pStyle w:val="Normal"/>
              <w:widowControl w:val="false"/>
              <w:numPr>
                <w:ilvl w:val="0"/>
                <w:numId w:val="28"/>
              </w:numPr>
              <w:tabs>
                <w:tab w:val="clear" w:pos="720"/>
              </w:tabs>
              <w:spacing w:before="120" w:after="80"/>
              <w:ind w:left="612" w:hanging="612"/>
              <w:jc w:val="both"/>
              <w:rPr>
                <w:rFonts w:ascii="Arial" w:hAnsi="Arial" w:cs="Arial"/>
                <w:sz w:val="22"/>
                <w:szCs w:val="22"/>
              </w:rPr>
            </w:pPr>
            <w:r>
              <w:rPr>
                <w:rFonts w:cs="Arial" w:ascii="Arial" w:hAnsi="Arial"/>
                <w:sz w:val="22"/>
                <w:szCs w:val="22"/>
                <w:lang w:val="en-GB"/>
              </w:rPr>
              <w:t>If</w:t>
            </w:r>
            <w:r>
              <w:rPr>
                <w:rFonts w:cs="Arial" w:ascii="Arial" w:hAnsi="Arial"/>
                <w:sz w:val="22"/>
                <w:szCs w:val="22"/>
              </w:rPr>
              <w:t xml:space="preserve"> a Tenderer does not provide clarifications of its Tender by the date and time set in the TEC’s written request for clarification, its </w:t>
            </w:r>
            <w:r>
              <w:rPr>
                <w:rFonts w:cs="Arial" w:ascii="Arial" w:hAnsi="Arial"/>
                <w:sz w:val="22"/>
                <w:szCs w:val="22"/>
                <w:lang w:val="en-GB"/>
              </w:rPr>
              <w:t>Tender shall not be considered in the evaluation.</w:t>
            </w:r>
          </w:p>
        </w:tc>
      </w:tr>
      <w:tr>
        <w:trPr/>
        <w:tc>
          <w:tcPr>
            <w:tcW w:w="2222" w:type="dxa"/>
            <w:vMerge w:val="restart"/>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315" w:name="_Toc421454244"/>
            <w:r>
              <w:rPr>
                <w:rStyle w:val="Heading3Char"/>
                <w:rFonts w:ascii="Arial" w:hAnsi="Arial"/>
                <w:b/>
                <w:sz w:val="22"/>
                <w:szCs w:val="22"/>
              </w:rPr>
              <w:t>Restrictions on the Disclosure of Information</w:t>
            </w:r>
            <w:bookmarkEnd w:id="315"/>
          </w:p>
        </w:tc>
        <w:tc>
          <w:tcPr>
            <w:tcW w:w="7020" w:type="dxa"/>
            <w:gridSpan w:val="3"/>
            <w:tcBorders/>
          </w:tcPr>
          <w:p>
            <w:pPr>
              <w:pStyle w:val="Normal"/>
              <w:widowControl w:val="false"/>
              <w:numPr>
                <w:ilvl w:val="0"/>
                <w:numId w:val="145"/>
              </w:numPr>
              <w:tabs>
                <w:tab w:val="clear" w:pos="720"/>
                <w:tab w:val="left" w:pos="612" w:leader="none"/>
              </w:tabs>
              <w:spacing w:before="120" w:after="80"/>
              <w:ind w:left="612" w:hanging="612"/>
              <w:jc w:val="both"/>
              <w:rPr>
                <w:rFonts w:ascii="Arial" w:hAnsi="Arial" w:cs="Arial"/>
                <w:sz w:val="22"/>
                <w:szCs w:val="22"/>
              </w:rPr>
            </w:pPr>
            <w:r>
              <w:rPr>
                <w:rFonts w:cs="Arial" w:ascii="Arial" w:hAnsi="Arial"/>
                <w:sz w:val="22"/>
                <w:szCs w:val="22"/>
              </w:rPr>
              <w:t xml:space="preserve">Following the opening of </w:t>
            </w:r>
            <w:r>
              <w:fldChar w:fldCharType="begin"/>
            </w:r>
            <w:r>
              <w:rPr>
                <w:sz w:val="22"/>
                <w:szCs w:val="22"/>
                <w:rFonts w:cs="Arial" w:ascii="Arial" w:hAnsi="Arial"/>
              </w:rPr>
              <w:instrText> XE "Applications: : " </w:instrText>
            </w:r>
            <w:r>
              <w:rPr>
                <w:sz w:val="22"/>
                <w:szCs w:val="22"/>
                <w:rFonts w:cs="Arial" w:ascii="Arial" w:hAnsi="Arial"/>
              </w:rPr>
              <w:fldChar w:fldCharType="separate"/>
            </w:r>
            <w:r>
              <w:rPr>
                <w:rFonts w:cs="Arial" w:ascii="Arial" w:hAnsi="Arial"/>
                <w:sz w:val="22"/>
                <w:szCs w:val="22"/>
              </w:rPr>
            </w:r>
            <w:r>
              <w:rPr>
                <w:sz w:val="22"/>
                <w:szCs w:val="22"/>
                <w:rFonts w:cs="Arial" w:ascii="Arial" w:hAnsi="Arial"/>
              </w:rPr>
              <w:fldChar w:fldCharType="end"/>
            </w:r>
            <w:r>
              <w:rPr>
                <w:rFonts w:cs="Arial" w:ascii="Arial" w:hAnsi="Arial"/>
                <w:sz w:val="22"/>
                <w:szCs w:val="22"/>
              </w:rPr>
              <w:t>Tenders until issuance of Notification of Award no Tenderer shall, unless requested to provide clarification to its Tender or unless necessary for submission of a complaint, communicate with the concerned Procuring Entity.</w:t>
            </w:r>
          </w:p>
        </w:tc>
      </w:tr>
      <w:tr>
        <w:trPr/>
        <w:tc>
          <w:tcPr>
            <w:tcW w:w="2222" w:type="dxa"/>
            <w:vMerge w:val="continue"/>
            <w:tcBorders/>
            <w:shd w:color="auto" w:fill="auto" w:val="clear"/>
          </w:tcPr>
          <w:p>
            <w:pPr>
              <w:pStyle w:val="Normal"/>
              <w:widowControl w:val="false"/>
              <w:spacing w:before="120" w:after="0"/>
              <w:rPr>
                <w:rFonts w:ascii="Arial" w:hAnsi="Arial" w:cs="Arial"/>
                <w:sz w:val="21"/>
                <w:szCs w:val="21"/>
              </w:rPr>
            </w:pPr>
            <w:r>
              <w:rPr>
                <w:rFonts w:cs="Arial" w:ascii="Arial" w:hAnsi="Arial"/>
                <w:sz w:val="21"/>
                <w:szCs w:val="21"/>
              </w:rPr>
            </w:r>
          </w:p>
        </w:tc>
        <w:tc>
          <w:tcPr>
            <w:tcW w:w="7020" w:type="dxa"/>
            <w:gridSpan w:val="3"/>
            <w:tcBorders/>
          </w:tcPr>
          <w:p>
            <w:pPr>
              <w:pStyle w:val="Normal"/>
              <w:widowControl w:val="false"/>
              <w:numPr>
                <w:ilvl w:val="0"/>
                <w:numId w:val="145"/>
              </w:numPr>
              <w:tabs>
                <w:tab w:val="clear" w:pos="720"/>
                <w:tab w:val="left" w:pos="612" w:leader="none"/>
              </w:tabs>
              <w:spacing w:before="120" w:after="80"/>
              <w:ind w:left="612" w:hanging="612"/>
              <w:jc w:val="both"/>
              <w:rPr>
                <w:rFonts w:ascii="Arial" w:hAnsi="Arial" w:cs="Arial"/>
                <w:sz w:val="22"/>
                <w:szCs w:val="22"/>
              </w:rPr>
            </w:pPr>
            <w:r>
              <w:rPr>
                <w:rFonts w:cs="Arial" w:ascii="Arial" w:hAnsi="Arial"/>
                <w:sz w:val="22"/>
                <w:szCs w:val="22"/>
              </w:rPr>
              <w:t xml:space="preserve">Tenderers shall not seek to influence in anyway, the examination and evaluation of the </w:t>
            </w:r>
            <w:r>
              <w:fldChar w:fldCharType="begin"/>
            </w:r>
            <w:r>
              <w:rPr>
                <w:sz w:val="22"/>
                <w:szCs w:val="22"/>
                <w:rFonts w:cs="Arial" w:ascii="Arial" w:hAnsi="Arial"/>
              </w:rPr>
              <w:instrText> XE "Applications: : " </w:instrText>
            </w:r>
            <w:r>
              <w:rPr>
                <w:sz w:val="22"/>
                <w:szCs w:val="22"/>
                <w:rFonts w:cs="Arial" w:ascii="Arial" w:hAnsi="Arial"/>
              </w:rPr>
              <w:fldChar w:fldCharType="separate"/>
            </w:r>
            <w:r>
              <w:rPr>
                <w:rFonts w:cs="Arial" w:ascii="Arial" w:hAnsi="Arial"/>
                <w:sz w:val="22"/>
                <w:szCs w:val="22"/>
              </w:rPr>
            </w:r>
            <w:r>
              <w:rPr>
                <w:sz w:val="22"/>
                <w:szCs w:val="22"/>
                <w:rFonts w:cs="Arial" w:ascii="Arial" w:hAnsi="Arial"/>
              </w:rPr>
              <w:fldChar w:fldCharType="end"/>
            </w:r>
            <w:r>
              <w:rPr>
                <w:rFonts w:cs="Arial" w:ascii="Arial" w:hAnsi="Arial"/>
                <w:sz w:val="22"/>
                <w:szCs w:val="22"/>
              </w:rPr>
              <w:t>Tenders.</w:t>
            </w:r>
          </w:p>
        </w:tc>
      </w:tr>
      <w:tr>
        <w:trPr/>
        <w:tc>
          <w:tcPr>
            <w:tcW w:w="2222" w:type="dxa"/>
            <w:vMerge w:val="continue"/>
            <w:tcBorders/>
            <w:shd w:color="auto" w:fill="auto" w:val="clear"/>
          </w:tcPr>
          <w:p>
            <w:pPr>
              <w:pStyle w:val="Normal"/>
              <w:widowControl w:val="false"/>
              <w:spacing w:before="120" w:after="0"/>
              <w:rPr>
                <w:rFonts w:ascii="Arial" w:hAnsi="Arial" w:cs="Arial"/>
                <w:sz w:val="21"/>
                <w:szCs w:val="21"/>
              </w:rPr>
            </w:pPr>
            <w:r>
              <w:rPr>
                <w:rFonts w:cs="Arial" w:ascii="Arial" w:hAnsi="Arial"/>
                <w:sz w:val="21"/>
                <w:szCs w:val="21"/>
              </w:rPr>
            </w:r>
          </w:p>
        </w:tc>
        <w:tc>
          <w:tcPr>
            <w:tcW w:w="7020" w:type="dxa"/>
            <w:gridSpan w:val="3"/>
            <w:tcBorders/>
          </w:tcPr>
          <w:p>
            <w:pPr>
              <w:pStyle w:val="Normal"/>
              <w:widowControl w:val="false"/>
              <w:numPr>
                <w:ilvl w:val="0"/>
                <w:numId w:val="145"/>
              </w:numPr>
              <w:tabs>
                <w:tab w:val="clear" w:pos="720"/>
                <w:tab w:val="left" w:pos="612" w:leader="none"/>
              </w:tabs>
              <w:spacing w:before="120" w:after="80"/>
              <w:ind w:left="612" w:hanging="612"/>
              <w:jc w:val="both"/>
              <w:rPr>
                <w:rFonts w:ascii="Arial" w:hAnsi="Arial" w:cs="Arial"/>
                <w:sz w:val="22"/>
                <w:szCs w:val="22"/>
              </w:rPr>
            </w:pPr>
            <w:r>
              <w:rPr>
                <w:rFonts w:cs="Arial" w:ascii="Arial" w:hAnsi="Arial"/>
                <w:sz w:val="22"/>
                <w:szCs w:val="22"/>
              </w:rPr>
              <w:t xml:space="preserve">Any effort by a Tenderer to influence a Procuring Entity in its decision concerning the evaluation of Tenders, </w:t>
            </w:r>
            <w:r>
              <w:fldChar w:fldCharType="begin"/>
            </w:r>
            <w:r>
              <w:rPr>
                <w:sz w:val="22"/>
                <w:szCs w:val="22"/>
                <w:rFonts w:cs="Arial" w:ascii="Arial" w:hAnsi="Arial"/>
              </w:rPr>
              <w:instrText> XE "Applications: : " </w:instrText>
            </w:r>
            <w:r>
              <w:rPr>
                <w:sz w:val="22"/>
                <w:szCs w:val="22"/>
                <w:rFonts w:cs="Arial" w:ascii="Arial" w:hAnsi="Arial"/>
              </w:rPr>
              <w:fldChar w:fldCharType="separate"/>
            </w:r>
            <w:r>
              <w:rPr>
                <w:rFonts w:cs="Arial" w:ascii="Arial" w:hAnsi="Arial"/>
                <w:sz w:val="22"/>
                <w:szCs w:val="22"/>
              </w:rPr>
            </w:r>
            <w:r>
              <w:rPr>
                <w:sz w:val="22"/>
                <w:szCs w:val="22"/>
                <w:rFonts w:cs="Arial" w:ascii="Arial" w:hAnsi="Arial"/>
              </w:rPr>
              <w:fldChar w:fldCharType="end"/>
            </w:r>
            <w:r>
              <w:rPr>
                <w:rFonts w:cs="Arial" w:ascii="Arial" w:hAnsi="Arial"/>
                <w:sz w:val="22"/>
                <w:szCs w:val="22"/>
              </w:rPr>
              <w:t>Contract awards may result in the rejection of its Tender as well as further action in accordance with Section 64 (5) of the Public Procurement Act 2006.</w:t>
            </w:r>
          </w:p>
        </w:tc>
      </w:tr>
      <w:tr>
        <w:trPr/>
        <w:tc>
          <w:tcPr>
            <w:tcW w:w="2222" w:type="dxa"/>
            <w:vMerge w:val="continue"/>
            <w:tcBorders/>
            <w:shd w:color="auto" w:fill="auto" w:val="clear"/>
          </w:tcPr>
          <w:p>
            <w:pPr>
              <w:pStyle w:val="Normal"/>
              <w:widowControl w:val="false"/>
              <w:spacing w:before="120" w:after="0"/>
              <w:rPr>
                <w:rFonts w:ascii="Arial" w:hAnsi="Arial" w:cs="Arial"/>
                <w:sz w:val="21"/>
                <w:szCs w:val="21"/>
              </w:rPr>
            </w:pPr>
            <w:r>
              <w:rPr>
                <w:rFonts w:cs="Arial" w:ascii="Arial" w:hAnsi="Arial"/>
                <w:sz w:val="21"/>
                <w:szCs w:val="21"/>
              </w:rPr>
            </w:r>
          </w:p>
        </w:tc>
        <w:tc>
          <w:tcPr>
            <w:tcW w:w="7020" w:type="dxa"/>
            <w:gridSpan w:val="3"/>
            <w:tcBorders/>
          </w:tcPr>
          <w:p>
            <w:pPr>
              <w:pStyle w:val="Normal"/>
              <w:widowControl w:val="false"/>
              <w:numPr>
                <w:ilvl w:val="0"/>
                <w:numId w:val="145"/>
              </w:numPr>
              <w:tabs>
                <w:tab w:val="clear" w:pos="720"/>
                <w:tab w:val="left" w:pos="612" w:leader="none"/>
              </w:tabs>
              <w:spacing w:before="120" w:after="80"/>
              <w:ind w:left="612" w:hanging="612"/>
              <w:jc w:val="both"/>
              <w:rPr>
                <w:rFonts w:ascii="Arial" w:hAnsi="Arial" w:cs="Arial"/>
                <w:spacing w:val="-4"/>
                <w:sz w:val="22"/>
                <w:szCs w:val="22"/>
              </w:rPr>
            </w:pPr>
            <w:r>
              <w:rPr>
                <w:rFonts w:cs="Arial" w:ascii="Arial" w:hAnsi="Arial"/>
                <w:spacing w:val="-4"/>
                <w:sz w:val="22"/>
                <w:szCs w:val="22"/>
              </w:rPr>
              <w:t>All clarification requests shall remind Tenderers of the need for confidentiality and that any breach of confidentiality on the part of the Tenderer may result in their Tender being non-responsive.</w:t>
            </w:r>
          </w:p>
        </w:tc>
      </w:tr>
      <w:tr>
        <w:trPr>
          <w:trHeight w:val="4068" w:hRule="atLeast"/>
        </w:trPr>
        <w:tc>
          <w:tcPr>
            <w:tcW w:w="2222" w:type="dxa"/>
            <w:vMerge w:val="restart"/>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316" w:name="_Toc49504785"/>
            <w:bookmarkStart w:id="317" w:name="_Toc49569802"/>
            <w:bookmarkStart w:id="318" w:name="_Toc49504232"/>
            <w:bookmarkStart w:id="319" w:name="_Toc49591364"/>
            <w:bookmarkStart w:id="320" w:name="_Toc421454245"/>
            <w:bookmarkStart w:id="321" w:name="_Toc49504666"/>
            <w:bookmarkStart w:id="322" w:name="_Toc49591712"/>
            <w:r>
              <w:rPr>
                <w:rStyle w:val="Heading3Char"/>
                <w:rFonts w:ascii="Arial" w:hAnsi="Arial"/>
                <w:b/>
                <w:sz w:val="22"/>
                <w:szCs w:val="22"/>
              </w:rPr>
              <w:t>Correction of Arithmetical Errors</w:t>
            </w:r>
            <w:bookmarkEnd w:id="316"/>
            <w:bookmarkEnd w:id="317"/>
            <w:bookmarkEnd w:id="318"/>
            <w:bookmarkEnd w:id="319"/>
            <w:bookmarkEnd w:id="320"/>
            <w:bookmarkEnd w:id="321"/>
            <w:bookmarkEnd w:id="322"/>
          </w:p>
        </w:tc>
        <w:tc>
          <w:tcPr>
            <w:tcW w:w="7020" w:type="dxa"/>
            <w:gridSpan w:val="3"/>
            <w:tcBorders/>
          </w:tcPr>
          <w:p>
            <w:pPr>
              <w:pStyle w:val="Normal"/>
              <w:widowControl w:val="false"/>
              <w:numPr>
                <w:ilvl w:val="0"/>
                <w:numId w:val="29"/>
              </w:numPr>
              <w:tabs>
                <w:tab w:val="clear" w:pos="720"/>
                <w:tab w:val="left" w:pos="612" w:leader="none"/>
              </w:tabs>
              <w:spacing w:before="120" w:after="80"/>
              <w:ind w:left="612" w:hanging="630"/>
              <w:jc w:val="both"/>
              <w:rPr>
                <w:rFonts w:ascii="Arial" w:hAnsi="Arial" w:cs="Arial"/>
                <w:sz w:val="22"/>
                <w:szCs w:val="22"/>
                <w:lang w:val="en-GB"/>
              </w:rPr>
            </w:pPr>
            <w:r>
              <w:rPr>
                <w:rFonts w:cs="Arial" w:ascii="Arial" w:hAnsi="Arial"/>
                <w:sz w:val="22"/>
                <w:szCs w:val="22"/>
                <w:lang w:val="en-GB"/>
              </w:rPr>
              <w:t>Provided that the Tender is responsive, TEC shall correct arithmetical errors on the following basis:</w:t>
            </w:r>
          </w:p>
          <w:p>
            <w:pPr>
              <w:pStyle w:val="SubClauseText"/>
              <w:widowControl w:val="false"/>
              <w:numPr>
                <w:ilvl w:val="0"/>
                <w:numId w:val="41"/>
              </w:numPr>
              <w:tabs>
                <w:tab w:val="clear" w:pos="720"/>
                <w:tab w:val="left" w:pos="1125" w:leader="none"/>
              </w:tabs>
              <w:spacing w:before="120" w:after="80"/>
              <w:ind w:left="1152" w:hanging="270"/>
              <w:rPr>
                <w:rFonts w:ascii="Arial" w:hAnsi="Arial" w:cs="Arial"/>
                <w:sz w:val="22"/>
                <w:szCs w:val="22"/>
                <w:lang w:val="en-GB"/>
              </w:rPr>
            </w:pPr>
            <w:bookmarkStart w:id="323" w:name="_Toc49406272"/>
            <w:bookmarkEnd w:id="323"/>
            <w:r>
              <w:rPr>
                <w:rFonts w:cs="Arial" w:ascii="Arial" w:hAnsi="Arial"/>
                <w:sz w:val="22"/>
                <w:szCs w:val="22"/>
                <w:lang w:val="en-GB"/>
              </w:rPr>
              <w:t>If there is a discrepancy between the unit price and the line item total that is obtained by multiplying the unit price by the quantity, the unit price shall prevail and the line item total shall be corrected, unless in the opinion of the TEC  there is an obvious misplacement of the decimal point in the unit price, in which case the total price as quoted will govern and the unit price will be corrected;</w:t>
            </w:r>
          </w:p>
          <w:p>
            <w:pPr>
              <w:pStyle w:val="SubClauseText"/>
              <w:widowControl w:val="false"/>
              <w:numPr>
                <w:ilvl w:val="0"/>
                <w:numId w:val="41"/>
              </w:numPr>
              <w:tabs>
                <w:tab w:val="clear" w:pos="720"/>
                <w:tab w:val="left" w:pos="1152" w:leader="none"/>
              </w:tabs>
              <w:spacing w:before="120" w:after="80"/>
              <w:ind w:left="1152" w:hanging="270"/>
              <w:rPr>
                <w:rFonts w:ascii="Arial" w:hAnsi="Arial" w:cs="Arial"/>
                <w:sz w:val="22"/>
                <w:szCs w:val="22"/>
                <w:lang w:val="en-GB"/>
              </w:rPr>
            </w:pPr>
            <w:bookmarkStart w:id="324" w:name="_Toc49406273"/>
            <w:bookmarkStart w:id="325" w:name="_Toc494062721"/>
            <w:bookmarkEnd w:id="325"/>
            <w:r>
              <w:rPr>
                <w:rFonts w:cs="Arial" w:ascii="Arial" w:hAnsi="Arial"/>
                <w:sz w:val="22"/>
                <w:szCs w:val="22"/>
                <w:lang w:val="en-GB"/>
              </w:rPr>
              <w:t>If there is an error in a total corresponding to the addition or subtraction of subtotals, the subtotals shall prevail and the total shall be corrected; and</w:t>
            </w:r>
            <w:bookmarkEnd w:id="324"/>
          </w:p>
          <w:p>
            <w:pPr>
              <w:pStyle w:val="SubClauseText"/>
              <w:widowControl w:val="false"/>
              <w:numPr>
                <w:ilvl w:val="0"/>
                <w:numId w:val="41"/>
              </w:numPr>
              <w:tabs>
                <w:tab w:val="clear" w:pos="720"/>
                <w:tab w:val="left" w:pos="1152" w:leader="none"/>
              </w:tabs>
              <w:spacing w:before="120" w:after="80"/>
              <w:ind w:left="1152" w:hanging="270"/>
              <w:rPr>
                <w:rFonts w:ascii="Arial" w:hAnsi="Arial" w:cs="Arial"/>
                <w:color w:val="993300"/>
                <w:sz w:val="22"/>
                <w:szCs w:val="22"/>
              </w:rPr>
            </w:pPr>
            <w:r>
              <w:rPr>
                <w:rFonts w:cs="Arial" w:ascii="Arial" w:hAnsi="Arial"/>
                <w:sz w:val="22"/>
                <w:szCs w:val="22"/>
                <w:lang w:val="en-GB"/>
              </w:rPr>
              <w:t>if there is a discrepancy between words and figures, the amount in words shall prevail, unless the amount expressed in words is related to an arithmetic error, in which case the amount in figures shall prevail subject to (a) and (b) above.</w:t>
            </w:r>
          </w:p>
        </w:tc>
      </w:tr>
      <w:tr>
        <w:trPr/>
        <w:tc>
          <w:tcPr>
            <w:tcW w:w="222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bookmarkStart w:id="326" w:name="_Toc63048072"/>
            <w:bookmarkStart w:id="327" w:name="_Toc63048072"/>
            <w:bookmarkEnd w:id="327"/>
          </w:p>
        </w:tc>
        <w:tc>
          <w:tcPr>
            <w:tcW w:w="7020" w:type="dxa"/>
            <w:gridSpan w:val="3"/>
            <w:tcBorders/>
          </w:tcPr>
          <w:p>
            <w:pPr>
              <w:pStyle w:val="Normal"/>
              <w:widowControl w:val="false"/>
              <w:numPr>
                <w:ilvl w:val="0"/>
                <w:numId w:val="29"/>
              </w:numPr>
              <w:tabs>
                <w:tab w:val="clear" w:pos="720"/>
                <w:tab w:val="left" w:pos="549" w:leader="none"/>
              </w:tabs>
              <w:spacing w:before="120" w:after="80"/>
              <w:ind w:left="590" w:hanging="576"/>
              <w:jc w:val="both"/>
              <w:rPr>
                <w:rFonts w:ascii="Arial" w:hAnsi="Arial" w:cs="Arial"/>
                <w:sz w:val="22"/>
                <w:szCs w:val="22"/>
                <w:lang w:val="en-GB"/>
              </w:rPr>
            </w:pPr>
            <w:r>
              <w:rPr>
                <w:rFonts w:cs="Arial" w:ascii="Arial" w:hAnsi="Arial"/>
                <w:sz w:val="22"/>
                <w:szCs w:val="22"/>
                <w:lang w:val="en-GB"/>
              </w:rPr>
              <w:t>TEC shall correct the arithmetic errors and shall promptly notify the concerned Tenderer(s), if the Tenderer does not accept the correction of arithmetic errors, its Tender shall be rejected.</w:t>
            </w:r>
          </w:p>
        </w:tc>
      </w:tr>
      <w:tr>
        <w:trPr>
          <w:trHeight w:val="702" w:hRule="atLeast"/>
        </w:trPr>
        <w:tc>
          <w:tcPr>
            <w:tcW w:w="2222" w:type="dxa"/>
            <w:vMerge w:val="restart"/>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328" w:name="_Toc421454246"/>
            <w:r>
              <w:rPr>
                <w:rStyle w:val="Heading3Char"/>
                <w:rFonts w:ascii="Arial" w:hAnsi="Arial"/>
                <w:b/>
                <w:sz w:val="22"/>
                <w:szCs w:val="22"/>
              </w:rPr>
              <w:t>Financial Evaluation</w:t>
            </w:r>
            <w:bookmarkEnd w:id="328"/>
          </w:p>
        </w:tc>
        <w:tc>
          <w:tcPr>
            <w:tcW w:w="7020" w:type="dxa"/>
            <w:gridSpan w:val="3"/>
            <w:tcBorders/>
          </w:tcPr>
          <w:p>
            <w:pPr>
              <w:pStyle w:val="SubClauseText"/>
              <w:widowControl w:val="false"/>
              <w:numPr>
                <w:ilvl w:val="0"/>
                <w:numId w:val="146"/>
              </w:numPr>
              <w:tabs>
                <w:tab w:val="clear" w:pos="720"/>
                <w:tab w:val="left" w:pos="567" w:leader="none"/>
              </w:tabs>
              <w:spacing w:before="120" w:after="60"/>
              <w:ind w:left="612" w:hanging="612"/>
              <w:rPr>
                <w:rFonts w:ascii="Arial" w:hAnsi="Arial" w:cs="Arial"/>
                <w:sz w:val="21"/>
                <w:szCs w:val="21"/>
                <w:lang w:val="en-GB"/>
              </w:rPr>
            </w:pPr>
            <w:r>
              <w:rPr>
                <w:rFonts w:cs="Arial" w:ascii="Arial" w:hAnsi="Arial"/>
                <w:sz w:val="22"/>
                <w:szCs w:val="22"/>
                <w:lang w:val="en-GB"/>
              </w:rPr>
              <w:t>TEC will evaluate each Tender that has been determined, up to this stage of the evaluation, to be responsive to the requirements set out in the Tender Document.</w:t>
            </w:r>
          </w:p>
        </w:tc>
      </w:tr>
      <w:tr>
        <w:trPr>
          <w:trHeight w:val="405" w:hRule="atLeast"/>
        </w:trPr>
        <w:tc>
          <w:tcPr>
            <w:tcW w:w="2222" w:type="dxa"/>
            <w:vMerge w:val="continue"/>
            <w:tcBorders/>
            <w:shd w:color="auto" w:fill="auto" w:val="clear"/>
          </w:tcPr>
          <w:p>
            <w:pPr>
              <w:pStyle w:val="Normal"/>
              <w:widowControl w:val="false"/>
              <w:spacing w:before="120" w:after="0"/>
              <w:rPr>
                <w:rFonts w:ascii="Arial" w:hAnsi="Arial" w:cs="Arial"/>
                <w:sz w:val="21"/>
                <w:szCs w:val="21"/>
              </w:rPr>
            </w:pPr>
            <w:r>
              <w:rPr>
                <w:rFonts w:cs="Arial" w:ascii="Arial" w:hAnsi="Arial"/>
                <w:sz w:val="21"/>
                <w:szCs w:val="21"/>
              </w:rPr>
            </w:r>
          </w:p>
        </w:tc>
        <w:tc>
          <w:tcPr>
            <w:tcW w:w="7020" w:type="dxa"/>
            <w:gridSpan w:val="3"/>
            <w:tcBorders/>
          </w:tcPr>
          <w:p>
            <w:pPr>
              <w:pStyle w:val="SubClauseText"/>
              <w:widowControl w:val="false"/>
              <w:numPr>
                <w:ilvl w:val="0"/>
                <w:numId w:val="146"/>
              </w:numPr>
              <w:tabs>
                <w:tab w:val="clear" w:pos="720"/>
                <w:tab w:val="left" w:pos="612" w:leader="none"/>
              </w:tabs>
              <w:spacing w:before="120" w:after="60"/>
              <w:ind w:left="612" w:hanging="612"/>
              <w:rPr>
                <w:rFonts w:ascii="Arial" w:hAnsi="Arial" w:cs="Arial"/>
                <w:sz w:val="22"/>
                <w:szCs w:val="22"/>
                <w:lang w:val="en-GB"/>
              </w:rPr>
            </w:pPr>
            <w:r>
              <w:rPr>
                <w:rFonts w:cs="Arial" w:ascii="Arial" w:hAnsi="Arial"/>
                <w:sz w:val="22"/>
                <w:szCs w:val="22"/>
                <w:lang w:val="en-GB"/>
              </w:rPr>
              <w:t>To evaluate a Tender, TEC will  consider the following:</w:t>
            </w:r>
          </w:p>
        </w:tc>
      </w:tr>
      <w:tr>
        <w:trPr/>
        <w:tc>
          <w:tcPr>
            <w:tcW w:w="2222" w:type="dxa"/>
            <w:vMerge w:val="continue"/>
            <w:tcBorders/>
            <w:shd w:color="auto" w:fill="auto" w:val="clear"/>
          </w:tcPr>
          <w:p>
            <w:pPr>
              <w:pStyle w:val="Heading4"/>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Normal"/>
              <w:widowControl w:val="false"/>
              <w:numPr>
                <w:ilvl w:val="2"/>
                <w:numId w:val="11"/>
              </w:numPr>
              <w:tabs>
                <w:tab w:val="clear" w:pos="720"/>
                <w:tab w:val="left" w:pos="1062" w:leader="none"/>
              </w:tabs>
              <w:spacing w:before="120" w:after="60"/>
              <w:ind w:left="1044" w:hanging="162"/>
              <w:jc w:val="both"/>
              <w:rPr>
                <w:rFonts w:ascii="Arial" w:hAnsi="Arial" w:cs="Arial"/>
                <w:sz w:val="22"/>
                <w:szCs w:val="22"/>
                <w:lang w:val="en-GB"/>
              </w:rPr>
            </w:pPr>
            <w:r>
              <w:rPr>
                <w:rFonts w:cs="Arial" w:ascii="Arial" w:hAnsi="Arial"/>
                <w:sz w:val="22"/>
                <w:szCs w:val="22"/>
                <w:lang w:val="en-GB"/>
              </w:rPr>
              <w:t>Tender price for Item(s) or Lot</w:t>
            </w:r>
          </w:p>
          <w:p>
            <w:pPr>
              <w:pStyle w:val="Normal"/>
              <w:widowControl w:val="false"/>
              <w:numPr>
                <w:ilvl w:val="2"/>
                <w:numId w:val="11"/>
              </w:numPr>
              <w:tabs>
                <w:tab w:val="clear" w:pos="720"/>
                <w:tab w:val="left" w:pos="1062" w:leader="none"/>
              </w:tabs>
              <w:spacing w:before="120" w:after="60"/>
              <w:ind w:left="1044" w:hanging="162"/>
              <w:jc w:val="both"/>
              <w:rPr>
                <w:rFonts w:ascii="Arial" w:hAnsi="Arial" w:cs="Arial"/>
                <w:sz w:val="22"/>
                <w:szCs w:val="22"/>
                <w:lang w:val="en-GB"/>
              </w:rPr>
            </w:pPr>
            <w:r>
              <w:rPr>
                <w:rFonts w:cs="Arial" w:ascii="Arial" w:hAnsi="Arial"/>
                <w:sz w:val="22"/>
                <w:szCs w:val="22"/>
                <w:lang w:val="en-GB"/>
              </w:rPr>
              <w:t>adjustment for correction of arithmetical errors as stated under ITT Sub Clause 51</w:t>
            </w:r>
            <w:r>
              <w:rPr>
                <w:rFonts w:cs="Arial" w:ascii="Arial" w:hAnsi="Arial"/>
                <w:sz w:val="22"/>
                <w:szCs w:val="22"/>
                <w:highlight w:val="yellow"/>
                <w:lang w:val="en-GB"/>
              </w:rPr>
              <w:t>.2;</w:t>
            </w:r>
          </w:p>
          <w:p>
            <w:pPr>
              <w:pStyle w:val="Normal"/>
              <w:widowControl w:val="false"/>
              <w:numPr>
                <w:ilvl w:val="2"/>
                <w:numId w:val="11"/>
              </w:numPr>
              <w:tabs>
                <w:tab w:val="clear" w:pos="720"/>
                <w:tab w:val="left" w:pos="1062" w:leader="none"/>
              </w:tabs>
              <w:spacing w:before="120" w:after="60"/>
              <w:ind w:left="1044" w:hanging="162"/>
              <w:jc w:val="both"/>
              <w:rPr>
                <w:rFonts w:ascii="Arial" w:hAnsi="Arial" w:cs="Arial"/>
                <w:sz w:val="22"/>
                <w:szCs w:val="22"/>
                <w:lang w:val="en-GB"/>
              </w:rPr>
            </w:pPr>
            <w:r>
              <w:rPr>
                <w:rFonts w:cs="Arial" w:ascii="Arial" w:hAnsi="Arial"/>
                <w:sz w:val="22"/>
                <w:szCs w:val="22"/>
                <w:lang w:val="en-GB"/>
              </w:rPr>
              <w:t>adjustment for application of the methodology for determining the equivalent lot value, as stated under ITT Sub  Clause 23.8, if any;</w:t>
            </w:r>
          </w:p>
          <w:p>
            <w:pPr>
              <w:pStyle w:val="Normal"/>
              <w:widowControl w:val="false"/>
              <w:numPr>
                <w:ilvl w:val="2"/>
                <w:numId w:val="11"/>
              </w:numPr>
              <w:tabs>
                <w:tab w:val="clear" w:pos="720"/>
                <w:tab w:val="left" w:pos="1035" w:leader="none"/>
              </w:tabs>
              <w:spacing w:before="120" w:after="60"/>
              <w:ind w:left="1044" w:hanging="162"/>
              <w:jc w:val="both"/>
              <w:rPr>
                <w:rFonts w:ascii="Arial" w:hAnsi="Arial" w:cs="Arial"/>
                <w:sz w:val="22"/>
                <w:szCs w:val="22"/>
                <w:lang w:val="en-GB"/>
              </w:rPr>
            </w:pPr>
            <w:r>
              <w:rPr>
                <w:rFonts w:cs="Arial" w:ascii="Arial" w:hAnsi="Arial"/>
                <w:sz w:val="22"/>
                <w:szCs w:val="22"/>
                <w:lang w:val="en-GB"/>
              </w:rPr>
              <w:t>adjustment for application of the economic factors, as stated under ITT Sub Clause 52.6,   if any;</w:t>
            </w:r>
          </w:p>
          <w:p>
            <w:pPr>
              <w:pStyle w:val="Normal"/>
              <w:widowControl w:val="false"/>
              <w:numPr>
                <w:ilvl w:val="2"/>
                <w:numId w:val="11"/>
              </w:numPr>
              <w:tabs>
                <w:tab w:val="clear" w:pos="720"/>
                <w:tab w:val="left" w:pos="1035" w:leader="none"/>
              </w:tabs>
              <w:spacing w:before="120" w:after="60"/>
              <w:ind w:left="1044" w:hanging="162"/>
              <w:jc w:val="both"/>
              <w:rPr>
                <w:rFonts w:ascii="Arial" w:hAnsi="Arial" w:cs="Arial"/>
                <w:sz w:val="22"/>
                <w:szCs w:val="22"/>
                <w:lang w:val="en-GB"/>
              </w:rPr>
            </w:pPr>
            <w:r>
              <w:rPr>
                <w:rFonts w:cs="Arial" w:ascii="Arial" w:hAnsi="Arial"/>
                <w:sz w:val="22"/>
                <w:szCs w:val="22"/>
                <w:lang w:val="en-GB"/>
              </w:rPr>
              <w:t xml:space="preserve">adjustment in order to take into consideration the unconditional discounts and methodology for application of the discount </w:t>
            </w:r>
            <w:r>
              <w:rPr>
                <w:rFonts w:cs="Arial" w:ascii="Arial" w:hAnsi="Arial"/>
                <w:spacing w:val="-10"/>
                <w:sz w:val="22"/>
                <w:szCs w:val="22"/>
                <w:lang w:val="en-GB"/>
              </w:rPr>
              <w:t>offered</w:t>
            </w:r>
            <w:r>
              <w:rPr>
                <w:rFonts w:cs="Arial" w:ascii="Arial" w:hAnsi="Arial"/>
                <w:sz w:val="22"/>
                <w:szCs w:val="22"/>
                <w:lang w:val="en-GB"/>
              </w:rPr>
              <w:t xml:space="preserve"> for being awarded more than one lot as stated under ITT Sub Clauses 24.11 and 24.12, if any.</w:t>
            </w:r>
          </w:p>
        </w:tc>
      </w:tr>
      <w:tr>
        <w:trPr/>
        <w:tc>
          <w:tcPr>
            <w:tcW w:w="2222" w:type="dxa"/>
            <w:vMerge w:val="continue"/>
            <w:tcBorders/>
          </w:tcPr>
          <w:p>
            <w:pPr>
              <w:pStyle w:val="Normal"/>
              <w:widowControl w:val="false"/>
              <w:spacing w:before="120" w:after="0"/>
              <w:rPr>
                <w:rFonts w:ascii="Arial" w:hAnsi="Arial" w:cs="Arial"/>
                <w:sz w:val="21"/>
                <w:szCs w:val="21"/>
              </w:rPr>
            </w:pPr>
            <w:r>
              <w:rPr>
                <w:rFonts w:cs="Arial" w:ascii="Arial" w:hAnsi="Arial"/>
                <w:sz w:val="21"/>
                <w:szCs w:val="21"/>
              </w:rPr>
            </w:r>
          </w:p>
        </w:tc>
        <w:tc>
          <w:tcPr>
            <w:tcW w:w="7020" w:type="dxa"/>
            <w:gridSpan w:val="3"/>
            <w:tcBorders/>
          </w:tcPr>
          <w:p>
            <w:pPr>
              <w:pStyle w:val="SubClauseText"/>
              <w:widowControl w:val="false"/>
              <w:numPr>
                <w:ilvl w:val="0"/>
                <w:numId w:val="146"/>
              </w:numPr>
              <w:tabs>
                <w:tab w:val="clear" w:pos="720"/>
                <w:tab w:val="left" w:pos="612" w:leader="none"/>
              </w:tabs>
              <w:spacing w:before="120" w:after="60"/>
              <w:ind w:left="612" w:hanging="612"/>
              <w:rPr>
                <w:rFonts w:ascii="Arial" w:hAnsi="Arial" w:cs="Arial"/>
                <w:sz w:val="22"/>
                <w:szCs w:val="22"/>
                <w:lang w:val="en-GB"/>
              </w:rPr>
            </w:pPr>
            <w:r>
              <w:rPr>
                <w:rFonts w:cs="Arial" w:ascii="Arial" w:hAnsi="Arial"/>
                <w:sz w:val="22"/>
                <w:szCs w:val="22"/>
                <w:lang w:val="en-GB"/>
              </w:rPr>
              <w:t>Variations, deviations, alternatives and other factors which are in excess of the requirements of the Tender Document or otherwise result in unsolicited benefits for the Procuring Entity will not be taken into account in Tender evaluation</w:t>
            </w:r>
          </w:p>
        </w:tc>
      </w:tr>
      <w:tr>
        <w:trPr/>
        <w:tc>
          <w:tcPr>
            <w:tcW w:w="2222" w:type="dxa"/>
            <w:vMerge w:val="continue"/>
            <w:tcBorders/>
          </w:tcPr>
          <w:p>
            <w:pPr>
              <w:pStyle w:val="Normal"/>
              <w:widowControl w:val="false"/>
              <w:spacing w:before="120" w:after="0"/>
              <w:rPr>
                <w:rFonts w:ascii="Arial" w:hAnsi="Arial" w:cs="Arial"/>
                <w:sz w:val="21"/>
                <w:szCs w:val="21"/>
              </w:rPr>
            </w:pPr>
            <w:r>
              <w:rPr>
                <w:rFonts w:cs="Arial" w:ascii="Arial" w:hAnsi="Arial"/>
                <w:sz w:val="21"/>
                <w:szCs w:val="21"/>
              </w:rPr>
            </w:r>
          </w:p>
        </w:tc>
        <w:tc>
          <w:tcPr>
            <w:tcW w:w="7020" w:type="dxa"/>
            <w:gridSpan w:val="3"/>
            <w:tcBorders/>
          </w:tcPr>
          <w:p>
            <w:pPr>
              <w:pStyle w:val="SubClauseText"/>
              <w:widowControl w:val="false"/>
              <w:numPr>
                <w:ilvl w:val="0"/>
                <w:numId w:val="146"/>
              </w:numPr>
              <w:tabs>
                <w:tab w:val="clear" w:pos="720"/>
                <w:tab w:val="left" w:pos="612" w:leader="none"/>
              </w:tabs>
              <w:spacing w:before="120" w:after="60"/>
              <w:ind w:left="612" w:hanging="612"/>
              <w:rPr>
                <w:rFonts w:ascii="Arial" w:hAnsi="Arial" w:cs="Arial"/>
                <w:sz w:val="22"/>
                <w:szCs w:val="22"/>
                <w:lang w:val="en-GB"/>
              </w:rPr>
            </w:pPr>
            <w:r>
              <w:rPr>
                <w:rFonts w:cs="Arial" w:ascii="Arial" w:hAnsi="Arial"/>
                <w:sz w:val="22"/>
                <w:szCs w:val="22"/>
                <w:lang w:val="en-GB"/>
              </w:rPr>
              <w:t>If so indicated in the ITT Sub Clause 24.3 the TEC may  award one or multiple lots to one Tenderer following the methodology specified in ITT Sub Clause 52.5</w:t>
            </w:r>
          </w:p>
        </w:tc>
      </w:tr>
      <w:tr>
        <w:trPr>
          <w:trHeight w:val="2790" w:hRule="atLeast"/>
        </w:trPr>
        <w:tc>
          <w:tcPr>
            <w:tcW w:w="2222" w:type="dxa"/>
            <w:vMerge w:val="continue"/>
            <w:tcBorders/>
          </w:tcPr>
          <w:p>
            <w:pPr>
              <w:pStyle w:val="Normal"/>
              <w:widowControl w:val="false"/>
              <w:spacing w:before="120" w:after="0"/>
              <w:rPr>
                <w:rFonts w:ascii="Arial" w:hAnsi="Arial" w:cs="Arial"/>
                <w:sz w:val="21"/>
                <w:szCs w:val="21"/>
              </w:rPr>
            </w:pPr>
            <w:r>
              <w:rPr>
                <w:rFonts w:cs="Arial" w:ascii="Arial" w:hAnsi="Arial"/>
                <w:sz w:val="21"/>
                <w:szCs w:val="21"/>
              </w:rPr>
            </w:r>
          </w:p>
        </w:tc>
        <w:tc>
          <w:tcPr>
            <w:tcW w:w="7020" w:type="dxa"/>
            <w:gridSpan w:val="3"/>
            <w:tcBorders/>
          </w:tcPr>
          <w:p>
            <w:pPr>
              <w:pStyle w:val="SubClauseText"/>
              <w:widowControl w:val="false"/>
              <w:numPr>
                <w:ilvl w:val="0"/>
                <w:numId w:val="146"/>
              </w:numPr>
              <w:tabs>
                <w:tab w:val="clear" w:pos="720"/>
                <w:tab w:val="left" w:pos="612" w:leader="none"/>
              </w:tabs>
              <w:spacing w:before="120" w:after="60"/>
              <w:ind w:left="612" w:hanging="612"/>
              <w:rPr>
                <w:rFonts w:ascii="Arial" w:hAnsi="Arial" w:cs="Arial"/>
                <w:sz w:val="22"/>
                <w:szCs w:val="22"/>
                <w:lang w:val="en-GB"/>
              </w:rPr>
            </w:pPr>
            <w:r>
              <w:rPr>
                <w:rFonts w:cs="Arial" w:ascii="Arial" w:hAnsi="Arial"/>
                <w:sz w:val="22"/>
                <w:szCs w:val="22"/>
                <w:lang w:val="en-GB"/>
              </w:rPr>
              <w:t>To</w:t>
            </w:r>
            <w:r>
              <w:rPr>
                <w:rFonts w:cs="Arial" w:ascii="Arial" w:hAnsi="Arial"/>
                <w:bCs/>
                <w:sz w:val="22"/>
                <w:szCs w:val="22"/>
                <w:lang w:val="en-GB"/>
              </w:rPr>
              <w:t xml:space="preserve"> determine the lowest-evaluated lot or combination of lots, the TEC  </w:t>
            </w:r>
            <w:r>
              <w:rPr>
                <w:rFonts w:cs="Arial" w:ascii="Arial" w:hAnsi="Arial"/>
                <w:sz w:val="22"/>
                <w:szCs w:val="22"/>
                <w:lang w:val="en-GB"/>
              </w:rPr>
              <w:t>will</w:t>
            </w:r>
            <w:r>
              <w:rPr>
                <w:rFonts w:cs="Arial" w:ascii="Arial" w:hAnsi="Arial"/>
                <w:bCs/>
                <w:sz w:val="22"/>
                <w:szCs w:val="22"/>
                <w:lang w:val="en-GB"/>
              </w:rPr>
              <w:t xml:space="preserve"> take into account:</w:t>
            </w:r>
          </w:p>
          <w:p>
            <w:pPr>
              <w:pStyle w:val="Normal"/>
              <w:keepLines/>
              <w:widowControl w:val="false"/>
              <w:numPr>
                <w:ilvl w:val="1"/>
                <w:numId w:val="103"/>
              </w:numPr>
              <w:tabs>
                <w:tab w:val="clear" w:pos="720"/>
                <w:tab w:val="left" w:pos="1242" w:leader="none"/>
              </w:tabs>
              <w:spacing w:before="120" w:after="60"/>
              <w:ind w:left="1242" w:hanging="540"/>
              <w:jc w:val="both"/>
              <w:rPr>
                <w:rFonts w:ascii="Arial" w:hAnsi="Arial" w:cs="Arial"/>
                <w:sz w:val="22"/>
                <w:szCs w:val="22"/>
                <w:lang w:val="en-GB"/>
              </w:rPr>
            </w:pPr>
            <w:r>
              <w:rPr>
                <w:rFonts w:cs="Arial" w:ascii="Arial" w:hAnsi="Arial"/>
                <w:bCs/>
                <w:sz w:val="22"/>
                <w:szCs w:val="22"/>
                <w:lang w:val="en-GB"/>
              </w:rPr>
              <w:t>the lowest-evaluated Tender for each item(s) or lot, as applicable .</w:t>
            </w:r>
          </w:p>
          <w:p>
            <w:pPr>
              <w:pStyle w:val="Normal"/>
              <w:keepLines/>
              <w:widowControl w:val="false"/>
              <w:numPr>
                <w:ilvl w:val="1"/>
                <w:numId w:val="103"/>
              </w:numPr>
              <w:tabs>
                <w:tab w:val="clear" w:pos="720"/>
                <w:tab w:val="left" w:pos="1242" w:leader="none"/>
              </w:tabs>
              <w:spacing w:before="120" w:after="60"/>
              <w:ind w:left="1242" w:hanging="540"/>
              <w:jc w:val="both"/>
              <w:rPr>
                <w:rFonts w:ascii="Arial" w:hAnsi="Arial" w:cs="Arial"/>
                <w:sz w:val="22"/>
                <w:szCs w:val="22"/>
                <w:lang w:val="en-GB"/>
              </w:rPr>
            </w:pPr>
            <w:r>
              <w:rPr>
                <w:rFonts w:cs="Arial" w:ascii="Arial" w:hAnsi="Arial"/>
                <w:bCs/>
                <w:sz w:val="22"/>
                <w:szCs w:val="22"/>
                <w:lang w:val="en-GB"/>
              </w:rPr>
              <w:t>the resources sufficient to meet the qualifying criteria  for the individual lot or aggregate of the qualifying criteria for the multiple lots; and</w:t>
            </w:r>
          </w:p>
          <w:p>
            <w:pPr>
              <w:pStyle w:val="Normal"/>
              <w:keepLines/>
              <w:widowControl w:val="false"/>
              <w:tabs>
                <w:tab w:val="clear" w:pos="720"/>
                <w:tab w:val="left" w:pos="1242" w:leader="none"/>
              </w:tabs>
              <w:spacing w:before="120" w:after="60"/>
              <w:ind w:left="1242" w:hanging="540"/>
              <w:jc w:val="both"/>
              <w:rPr>
                <w:rFonts w:ascii="Arial" w:hAnsi="Arial" w:cs="Arial"/>
                <w:sz w:val="22"/>
                <w:szCs w:val="22"/>
                <w:lang w:val="en-GB"/>
              </w:rPr>
            </w:pPr>
            <w:r>
              <w:rPr>
                <w:rFonts w:cs="Arial" w:ascii="Arial" w:hAnsi="Arial"/>
                <w:bCs/>
                <w:sz w:val="22"/>
                <w:szCs w:val="22"/>
                <w:lang w:val="en-GB"/>
              </w:rPr>
              <w:t>(c)  the price reduction on account of discount per lot or combination of lots and the methodology for application of the discount as offered by the Tenderer in its Tender.</w:t>
            </w:r>
          </w:p>
        </w:tc>
      </w:tr>
      <w:tr>
        <w:trPr>
          <w:trHeight w:val="80" w:hRule="atLeast"/>
        </w:trPr>
        <w:tc>
          <w:tcPr>
            <w:tcW w:w="2222" w:type="dxa"/>
            <w:vMerge w:val="restart"/>
            <w:tcBorders/>
          </w:tcPr>
          <w:p>
            <w:pPr>
              <w:pStyle w:val="Normal"/>
              <w:widowControl w:val="false"/>
              <w:numPr>
                <w:ilvl w:val="0"/>
                <w:numId w:val="0"/>
              </w:numPr>
              <w:spacing w:before="80" w:after="80"/>
              <w:ind w:left="360" w:hanging="0"/>
              <w:outlineLvl w:val="2"/>
              <w:rPr>
                <w:rFonts w:ascii="Arial" w:hAnsi="Arial" w:cs="Arial"/>
                <w:sz w:val="21"/>
                <w:szCs w:val="21"/>
              </w:rPr>
            </w:pPr>
            <w:r>
              <w:rPr>
                <w:rFonts w:cs="Arial" w:ascii="Arial" w:hAnsi="Arial"/>
                <w:sz w:val="21"/>
                <w:szCs w:val="21"/>
              </w:rPr>
            </w:r>
          </w:p>
        </w:tc>
        <w:tc>
          <w:tcPr>
            <w:tcW w:w="7020" w:type="dxa"/>
            <w:gridSpan w:val="3"/>
            <w:tcBorders/>
          </w:tcPr>
          <w:p>
            <w:pPr>
              <w:pStyle w:val="SubClauseText"/>
              <w:widowControl w:val="false"/>
              <w:numPr>
                <w:ilvl w:val="0"/>
                <w:numId w:val="146"/>
              </w:numPr>
              <w:tabs>
                <w:tab w:val="clear" w:pos="720"/>
                <w:tab w:val="left" w:pos="702" w:leader="none"/>
              </w:tabs>
              <w:spacing w:before="120" w:after="60"/>
              <w:ind w:left="702" w:hanging="702"/>
              <w:rPr>
                <w:rFonts w:ascii="Arial" w:hAnsi="Arial" w:cs="Arial"/>
                <w:spacing w:val="-6"/>
                <w:sz w:val="22"/>
                <w:szCs w:val="22"/>
                <w:lang w:val="en-GB"/>
              </w:rPr>
            </w:pPr>
            <w:r>
              <w:rPr>
                <w:rFonts w:cs="Arial" w:ascii="Arial" w:hAnsi="Arial"/>
                <w:spacing w:val="-6"/>
                <w:sz w:val="22"/>
                <w:szCs w:val="22"/>
              </w:rPr>
              <w:t xml:space="preserve">The </w:t>
            </w:r>
            <w:r>
              <w:rPr>
                <w:rFonts w:cs="Arial" w:ascii="Arial" w:hAnsi="Arial"/>
                <w:spacing w:val="-6"/>
                <w:sz w:val="22"/>
                <w:szCs w:val="22"/>
                <w:lang w:val="en-GB"/>
              </w:rPr>
              <w:t xml:space="preserve">Procuring Entity’s evaluation of a Tender may require the consideration of other factors, in addition to the Tender price quoted as stated under ITT Clause 24.  The effect of the factors selected, if any, shall be expressed in monetary terms to facilitate comparison of Tenders. The factors, methodologies and criteria to be used shall be as specified in </w:t>
            </w:r>
            <w:r>
              <w:rPr>
                <w:rFonts w:cs="Arial" w:ascii="Arial" w:hAnsi="Arial"/>
                <w:b/>
                <w:spacing w:val="-6"/>
                <w:sz w:val="22"/>
                <w:szCs w:val="22"/>
                <w:lang w:val="en-GB"/>
              </w:rPr>
              <w:t>TDS</w:t>
            </w:r>
            <w:r>
              <w:rPr>
                <w:rFonts w:cs="Arial" w:ascii="Arial" w:hAnsi="Arial"/>
                <w:spacing w:val="-6"/>
                <w:sz w:val="22"/>
                <w:szCs w:val="22"/>
                <w:lang w:val="en-GB"/>
              </w:rPr>
              <w:t>. The applicable economic factors, for the purposes of evaluation of Tenders shall be:</w:t>
            </w:r>
          </w:p>
          <w:p>
            <w:pPr>
              <w:pStyle w:val="Normal"/>
              <w:widowControl w:val="false"/>
              <w:numPr>
                <w:ilvl w:val="0"/>
                <w:numId w:val="97"/>
              </w:numPr>
              <w:tabs>
                <w:tab w:val="clear" w:pos="720"/>
                <w:tab w:val="left" w:pos="1215" w:leader="none"/>
                <w:tab w:val="right" w:pos="7254" w:leader="none"/>
              </w:tabs>
              <w:spacing w:before="120" w:after="60"/>
              <w:ind w:left="1224" w:hanging="522"/>
              <w:rPr>
                <w:rFonts w:ascii="Arial" w:hAnsi="Arial" w:eastAsia="Times New Roman" w:cs="Arial"/>
                <w:spacing w:val="-4"/>
                <w:sz w:val="22"/>
                <w:szCs w:val="22"/>
                <w:lang w:val="en-GB" w:eastAsia="en-US"/>
              </w:rPr>
            </w:pPr>
            <w:r>
              <w:rPr>
                <w:rFonts w:eastAsia="Times New Roman" w:cs="Arial" w:ascii="Arial" w:hAnsi="Arial"/>
                <w:spacing w:val="-4"/>
                <w:sz w:val="22"/>
                <w:szCs w:val="22"/>
                <w:lang w:val="en-GB" w:eastAsia="en-US"/>
              </w:rPr>
              <w:t>adjustment for deviations in the  Delivery and Completion   Schedule;</w:t>
            </w:r>
          </w:p>
          <w:p>
            <w:pPr>
              <w:pStyle w:val="Normal"/>
              <w:widowControl w:val="false"/>
              <w:numPr>
                <w:ilvl w:val="0"/>
                <w:numId w:val="97"/>
              </w:numPr>
              <w:tabs>
                <w:tab w:val="clear" w:pos="720"/>
                <w:tab w:val="left" w:pos="1215" w:leader="none"/>
                <w:tab w:val="right" w:pos="7254" w:leader="none"/>
              </w:tabs>
              <w:spacing w:before="120" w:after="60"/>
              <w:ind w:left="1224" w:hanging="522"/>
              <w:rPr>
                <w:rFonts w:ascii="Arial" w:hAnsi="Arial" w:eastAsia="Times New Roman" w:cs="Arial"/>
                <w:spacing w:val="-4"/>
                <w:sz w:val="22"/>
                <w:szCs w:val="22"/>
                <w:lang w:val="en-GB" w:eastAsia="en-US"/>
              </w:rPr>
            </w:pPr>
            <w:r>
              <w:rPr>
                <w:rFonts w:eastAsia="Times New Roman" w:cs="Arial" w:ascii="Arial" w:hAnsi="Arial"/>
                <w:spacing w:val="-4"/>
                <w:sz w:val="22"/>
                <w:szCs w:val="22"/>
                <w:lang w:val="en-GB" w:eastAsia="en-US"/>
              </w:rPr>
              <w:t>cost of major replacement components, mandatory spare parts and service.</w:t>
            </w:r>
          </w:p>
        </w:tc>
      </w:tr>
      <w:tr>
        <w:trPr>
          <w:trHeight w:val="2790" w:hRule="atLeast"/>
        </w:trPr>
        <w:tc>
          <w:tcPr>
            <w:tcW w:w="2222" w:type="dxa"/>
            <w:vMerge w:val="continue"/>
            <w:tcBorders/>
          </w:tcPr>
          <w:p>
            <w:pPr>
              <w:pStyle w:val="Normal"/>
              <w:widowControl w:val="false"/>
              <w:numPr>
                <w:ilvl w:val="0"/>
                <w:numId w:val="0"/>
              </w:numPr>
              <w:spacing w:before="120" w:after="0"/>
              <w:ind w:left="9" w:hanging="0"/>
              <w:outlineLvl w:val="2"/>
              <w:rPr>
                <w:rStyle w:val="Heading3Char"/>
                <w:rFonts w:ascii="Arial" w:hAnsi="Arial"/>
                <w:sz w:val="21"/>
                <w:szCs w:val="21"/>
              </w:rPr>
            </w:pPr>
            <w:r>
              <w:rPr>
                <w:rFonts w:ascii="Arial" w:hAnsi="Arial"/>
                <w:sz w:val="21"/>
                <w:szCs w:val="21"/>
              </w:rPr>
            </w:r>
          </w:p>
        </w:tc>
        <w:tc>
          <w:tcPr>
            <w:tcW w:w="7020" w:type="dxa"/>
            <w:gridSpan w:val="3"/>
            <w:tcBorders/>
          </w:tcPr>
          <w:p>
            <w:pPr>
              <w:pStyle w:val="SubClauseText"/>
              <w:widowControl w:val="false"/>
              <w:numPr>
                <w:ilvl w:val="0"/>
                <w:numId w:val="146"/>
              </w:numPr>
              <w:tabs>
                <w:tab w:val="clear" w:pos="720"/>
                <w:tab w:val="left" w:pos="702" w:leader="none"/>
              </w:tabs>
              <w:spacing w:before="120" w:after="120"/>
              <w:ind w:left="702" w:hanging="702"/>
              <w:rPr>
                <w:rFonts w:ascii="Arial" w:hAnsi="Arial" w:cs="Arial"/>
                <w:sz w:val="22"/>
                <w:szCs w:val="22"/>
              </w:rPr>
            </w:pPr>
            <w:r>
              <w:rPr>
                <w:rFonts w:cs="Arial" w:ascii="Arial" w:hAnsi="Arial"/>
                <w:sz w:val="22"/>
                <w:szCs w:val="22"/>
              </w:rPr>
              <w:t>If the winning lot is missing some item(s), as stated under ITT Sub Clause 23.8, comprising twenty(20) percent or less number of  items in the lot, the Procuring Entity may procure those missing item(s) from theother responsive  Tenderer(s)quoting  the lowest price for the missing item(s).</w:t>
            </w:r>
          </w:p>
          <w:p>
            <w:pPr>
              <w:pStyle w:val="SubClauseText"/>
              <w:widowControl w:val="false"/>
              <w:numPr>
                <w:ilvl w:val="0"/>
                <w:numId w:val="146"/>
              </w:numPr>
              <w:tabs>
                <w:tab w:val="clear" w:pos="720"/>
                <w:tab w:val="left" w:pos="702" w:leader="none"/>
              </w:tabs>
              <w:spacing w:before="120" w:after="120"/>
              <w:ind w:left="702" w:hanging="702"/>
              <w:rPr>
                <w:rFonts w:ascii="Arial" w:hAnsi="Arial" w:cs="Arial"/>
                <w:sz w:val="22"/>
                <w:szCs w:val="22"/>
              </w:rPr>
            </w:pPr>
            <w:r>
              <w:rPr>
                <w:rFonts w:cs="Arial" w:ascii="Arial" w:hAnsi="Arial"/>
                <w:sz w:val="22"/>
                <w:szCs w:val="22"/>
              </w:rPr>
              <w:t>TEC may recommend to increase the amount of the Performance Security above the amounts as stated under ITT Sub Clause 62.1 but not exceeding twenty-five (25) percent of the Contract Price, if in the opinion of theTEC, it is found that the Tender is significantly below the updated official estimated cost.</w:t>
            </w:r>
          </w:p>
        </w:tc>
      </w:tr>
      <w:tr>
        <w:trPr>
          <w:trHeight w:val="675" w:hRule="atLeast"/>
        </w:trPr>
        <w:tc>
          <w:tcPr>
            <w:tcW w:w="2222" w:type="dxa"/>
            <w:tcBorders/>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329" w:name="_Toc421454247"/>
            <w:r>
              <w:rPr>
                <w:rStyle w:val="Heading3Char"/>
                <w:rFonts w:ascii="Arial" w:hAnsi="Arial"/>
                <w:b/>
                <w:sz w:val="22"/>
                <w:szCs w:val="22"/>
              </w:rPr>
              <w:t>Assessing  the Price of unpriced   Items</w:t>
            </w:r>
            <w:bookmarkEnd w:id="329"/>
          </w:p>
        </w:tc>
        <w:tc>
          <w:tcPr>
            <w:tcW w:w="7020" w:type="dxa"/>
            <w:gridSpan w:val="3"/>
            <w:tcBorders/>
          </w:tcPr>
          <w:p>
            <w:pPr>
              <w:pStyle w:val="SubClauseText"/>
              <w:widowControl w:val="false"/>
              <w:numPr>
                <w:ilvl w:val="0"/>
                <w:numId w:val="91"/>
              </w:numPr>
              <w:tabs>
                <w:tab w:val="clear" w:pos="720"/>
                <w:tab w:val="left" w:pos="612" w:leader="none"/>
              </w:tabs>
              <w:spacing w:before="120" w:after="120"/>
              <w:ind w:left="619" w:hanging="612"/>
              <w:rPr>
                <w:rFonts w:ascii="Arial" w:hAnsi="Arial" w:cs="Arial"/>
                <w:spacing w:val="-6"/>
                <w:sz w:val="22"/>
                <w:szCs w:val="22"/>
              </w:rPr>
            </w:pPr>
            <w:r>
              <w:rPr>
                <w:rFonts w:cs="Arial" w:ascii="Arial" w:hAnsi="Arial"/>
                <w:spacing w:val="-6"/>
                <w:sz w:val="22"/>
                <w:szCs w:val="22"/>
              </w:rPr>
              <w:t>If it is so permitted under ITT Clause 24, any Tenderer offered only eighty percent (80%)  the items of a lot as stated under ITT Sub-Clause 24.7, the TEC shall calculate the total lot value by adding up the average prices offered by other responsive Tenderers for the missing items to establish the winning lot Tender.</w:t>
            </w:r>
          </w:p>
          <w:p>
            <w:pPr>
              <w:pStyle w:val="SubClauseText"/>
              <w:widowControl w:val="false"/>
              <w:numPr>
                <w:ilvl w:val="0"/>
                <w:numId w:val="91"/>
              </w:numPr>
              <w:tabs>
                <w:tab w:val="clear" w:pos="720"/>
                <w:tab w:val="left" w:pos="612" w:leader="none"/>
              </w:tabs>
              <w:spacing w:before="120" w:after="120"/>
              <w:ind w:left="619" w:hanging="612"/>
              <w:rPr>
                <w:rFonts w:ascii="Arial" w:hAnsi="Arial" w:cs="Arial"/>
                <w:sz w:val="22"/>
                <w:szCs w:val="22"/>
                <w:lang w:val="en-GB"/>
              </w:rPr>
            </w:pPr>
            <w:r>
              <w:rPr>
                <w:rFonts w:cs="Arial" w:ascii="Arial" w:hAnsi="Arial"/>
                <w:sz w:val="22"/>
                <w:szCs w:val="22"/>
              </w:rPr>
              <w:t>If the winning lot is missing some items as stated under ITT Sub Clause 53.1, comprising less than twenty percent (20%), the Procuring Entity may procure the missing items from the Tenderer offering the least cost for those remaining items.</w:t>
            </w:r>
          </w:p>
        </w:tc>
      </w:tr>
      <w:tr>
        <w:trPr>
          <w:trHeight w:val="675" w:hRule="atLeast"/>
        </w:trPr>
        <w:tc>
          <w:tcPr>
            <w:tcW w:w="2222" w:type="dxa"/>
            <w:vMerge w:val="restart"/>
            <w:tcBorders/>
          </w:tcPr>
          <w:p>
            <w:pPr>
              <w:pStyle w:val="Normal"/>
              <w:widowControl w:val="false"/>
              <w:numPr>
                <w:ilvl w:val="0"/>
                <w:numId w:val="31"/>
              </w:numPr>
              <w:spacing w:before="80" w:after="0"/>
              <w:ind w:left="360" w:hanging="346"/>
              <w:outlineLvl w:val="2"/>
              <w:rPr>
                <w:rStyle w:val="Heading3Char"/>
                <w:rFonts w:ascii="Arial" w:hAnsi="Arial"/>
                <w:b/>
                <w:b/>
                <w:sz w:val="22"/>
                <w:szCs w:val="22"/>
              </w:rPr>
            </w:pPr>
            <w:bookmarkStart w:id="330" w:name="_Toc421454248"/>
            <w:r>
              <w:rPr>
                <w:rStyle w:val="Heading3Char"/>
                <w:rFonts w:ascii="Arial" w:hAnsi="Arial"/>
                <w:b/>
                <w:sz w:val="22"/>
                <w:szCs w:val="22"/>
              </w:rPr>
              <w:t>Price Comparison</w:t>
            </w:r>
            <w:bookmarkEnd w:id="330"/>
          </w:p>
        </w:tc>
        <w:tc>
          <w:tcPr>
            <w:tcW w:w="7020" w:type="dxa"/>
            <w:gridSpan w:val="3"/>
            <w:tcBorders/>
          </w:tcPr>
          <w:p>
            <w:pPr>
              <w:pStyle w:val="SubClauseText"/>
              <w:widowControl w:val="false"/>
              <w:numPr>
                <w:ilvl w:val="0"/>
                <w:numId w:val="150"/>
              </w:numPr>
              <w:tabs>
                <w:tab w:val="clear" w:pos="720"/>
                <w:tab w:val="left" w:pos="612" w:leader="none"/>
              </w:tabs>
              <w:spacing w:before="120" w:after="120"/>
              <w:ind w:left="619" w:hanging="612"/>
              <w:rPr>
                <w:rFonts w:ascii="Arial" w:hAnsi="Arial" w:cs="Arial"/>
                <w:sz w:val="22"/>
                <w:szCs w:val="22"/>
                <w:lang w:val="en-GB"/>
              </w:rPr>
            </w:pPr>
            <w:r>
              <w:rPr>
                <w:rFonts w:cs="Arial" w:ascii="Arial" w:hAnsi="Arial"/>
                <w:sz w:val="22"/>
                <w:szCs w:val="22"/>
              </w:rPr>
              <w:t>TEC</w:t>
            </w:r>
            <w:r>
              <w:rPr>
                <w:rFonts w:cs="Arial" w:ascii="Arial" w:hAnsi="Arial"/>
                <w:sz w:val="22"/>
                <w:szCs w:val="22"/>
                <w:lang w:val="en-GB"/>
              </w:rPr>
              <w:t xml:space="preserve"> shall compare all responsive Tenders to determine the lowest-evaluated Tender, as stated under ITT Clause 52.</w:t>
            </w:r>
          </w:p>
        </w:tc>
      </w:tr>
      <w:tr>
        <w:trPr>
          <w:trHeight w:val="1377" w:hRule="atLeast"/>
        </w:trPr>
        <w:tc>
          <w:tcPr>
            <w:tcW w:w="2222" w:type="dxa"/>
            <w:vMerge w:val="continue"/>
            <w:tcBorders/>
          </w:tcPr>
          <w:p>
            <w:pPr>
              <w:pStyle w:val="Heading4"/>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150"/>
              </w:numPr>
              <w:spacing w:before="120" w:after="120"/>
              <w:ind w:left="619" w:hanging="612"/>
              <w:rPr>
                <w:rFonts w:ascii="Arial" w:hAnsi="Arial" w:cs="Arial"/>
                <w:sz w:val="22"/>
                <w:szCs w:val="22"/>
                <w:lang w:val="en-GB"/>
              </w:rPr>
            </w:pPr>
            <w:r>
              <w:rPr>
                <w:rFonts w:cs="Arial" w:ascii="Arial" w:hAnsi="Arial"/>
                <w:sz w:val="22"/>
                <w:szCs w:val="22"/>
                <w:lang w:val="en-GB"/>
              </w:rPr>
              <w:t>In the extremely unlikely event that there is a tie for the lowest evaluated price, the Tenderer with the superior past performance with the Procuring Entity shall be selected, whereby factors such as delivery period, quality of  Goods delivered, complaints history and performance indicators could be taken into consideration.</w:t>
            </w:r>
          </w:p>
        </w:tc>
      </w:tr>
      <w:tr>
        <w:trPr>
          <w:trHeight w:val="540" w:hRule="atLeast"/>
        </w:trPr>
        <w:tc>
          <w:tcPr>
            <w:tcW w:w="2222" w:type="dxa"/>
            <w:vMerge w:val="continue"/>
            <w:tcBorders/>
          </w:tcPr>
          <w:p>
            <w:pPr>
              <w:pStyle w:val="Heading4"/>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150"/>
              </w:numPr>
              <w:spacing w:before="120" w:after="120"/>
              <w:ind w:left="619" w:hanging="612"/>
              <w:rPr>
                <w:rFonts w:ascii="Arial" w:hAnsi="Arial" w:cs="Arial"/>
                <w:sz w:val="22"/>
                <w:szCs w:val="22"/>
                <w:lang w:val="en-GB"/>
              </w:rPr>
            </w:pPr>
            <w:r>
              <w:rPr>
                <w:rFonts w:cs="Arial" w:ascii="Arial" w:hAnsi="Arial"/>
                <w:sz w:val="22"/>
                <w:szCs w:val="22"/>
                <w:lang w:val="en-GB"/>
              </w:rPr>
              <w:t>In the event that there is a tie for the lowest price and none of the Tenderers has the record of past performance with the Procuring Entity, then the Tenderer shall be selected, subject to firm confirmation through the Post-qualification process described in ITT Clause 55, after consideration as to whether the quality of Goods that is considered more advantageous by the end-users.</w:t>
            </w:r>
          </w:p>
        </w:tc>
      </w:tr>
      <w:tr>
        <w:trPr>
          <w:trHeight w:val="684" w:hRule="atLeast"/>
        </w:trPr>
        <w:tc>
          <w:tcPr>
            <w:tcW w:w="2222" w:type="dxa"/>
            <w:vMerge w:val="continue"/>
            <w:tcBorders/>
          </w:tcPr>
          <w:p>
            <w:pPr>
              <w:pStyle w:val="Heading4"/>
              <w:widowControl w:val="false"/>
              <w:spacing w:before="120" w:after="120"/>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SubClauseText"/>
              <w:widowControl w:val="false"/>
              <w:numPr>
                <w:ilvl w:val="0"/>
                <w:numId w:val="150"/>
              </w:numPr>
              <w:spacing w:before="120" w:after="120"/>
              <w:ind w:left="619" w:hanging="612"/>
              <w:rPr>
                <w:rFonts w:ascii="Arial" w:hAnsi="Arial" w:cs="Arial"/>
                <w:sz w:val="22"/>
                <w:szCs w:val="22"/>
                <w:lang w:val="en-GB"/>
              </w:rPr>
            </w:pPr>
            <w:r>
              <w:rPr>
                <w:rFonts w:cs="Arial" w:ascii="Arial" w:hAnsi="Arial"/>
                <w:sz w:val="22"/>
                <w:szCs w:val="22"/>
                <w:lang w:val="en-GB"/>
              </w:rPr>
              <w:t>The successful Tenderer as stated under ITT Sub Clauses 53.1, 53.2 and 53.3 shall not be selected through lottery under any circumstances.</w:t>
            </w:r>
          </w:p>
        </w:tc>
      </w:tr>
      <w:tr>
        <w:trPr/>
        <w:tc>
          <w:tcPr>
            <w:tcW w:w="2222" w:type="dxa"/>
            <w:tcBorders/>
            <w:shd w:color="auto" w:fill="auto" w:val="clear"/>
          </w:tcPr>
          <w:p>
            <w:pPr>
              <w:pStyle w:val="Normal"/>
              <w:widowControl w:val="false"/>
              <w:numPr>
                <w:ilvl w:val="0"/>
                <w:numId w:val="31"/>
              </w:numPr>
              <w:spacing w:before="80" w:after="80"/>
              <w:ind w:left="360" w:hanging="346"/>
              <w:outlineLvl w:val="2"/>
              <w:rPr>
                <w:rStyle w:val="Heading3Char"/>
                <w:rFonts w:ascii="Arial" w:hAnsi="Arial"/>
                <w:b/>
                <w:b/>
                <w:sz w:val="22"/>
                <w:szCs w:val="22"/>
              </w:rPr>
            </w:pPr>
            <w:bookmarkStart w:id="331" w:name="_Toc49569806"/>
            <w:bookmarkStart w:id="332" w:name="_Toc49591716"/>
            <w:bookmarkStart w:id="333" w:name="_Toc49504236"/>
            <w:bookmarkStart w:id="334" w:name="_Toc49504670"/>
            <w:bookmarkStart w:id="335" w:name="_Toc49504789"/>
            <w:bookmarkStart w:id="336" w:name="_Toc421454249"/>
            <w:bookmarkStart w:id="337" w:name="_Toc49591368"/>
            <w:r>
              <w:rPr>
                <w:rStyle w:val="Heading3Char"/>
                <w:rFonts w:ascii="Arial" w:hAnsi="Arial"/>
                <w:b/>
                <w:sz w:val="22"/>
                <w:szCs w:val="22"/>
              </w:rPr>
              <w:t>Negotiation</w:t>
            </w:r>
            <w:bookmarkEnd w:id="331"/>
            <w:bookmarkEnd w:id="332"/>
            <w:bookmarkEnd w:id="333"/>
            <w:bookmarkEnd w:id="334"/>
            <w:bookmarkEnd w:id="335"/>
            <w:bookmarkEnd w:id="336"/>
            <w:bookmarkEnd w:id="337"/>
          </w:p>
        </w:tc>
        <w:tc>
          <w:tcPr>
            <w:tcW w:w="7020" w:type="dxa"/>
            <w:gridSpan w:val="3"/>
            <w:tcBorders/>
          </w:tcPr>
          <w:p>
            <w:pPr>
              <w:pStyle w:val="SubClauseText"/>
              <w:widowControl w:val="false"/>
              <w:numPr>
                <w:ilvl w:val="0"/>
                <w:numId w:val="151"/>
              </w:numPr>
              <w:tabs>
                <w:tab w:val="clear" w:pos="720"/>
                <w:tab w:val="left" w:pos="612" w:leader="none"/>
              </w:tabs>
              <w:spacing w:before="120" w:after="120"/>
              <w:ind w:left="612" w:hanging="612"/>
              <w:rPr>
                <w:rFonts w:ascii="Arial" w:hAnsi="Arial" w:cs="Arial"/>
                <w:sz w:val="22"/>
                <w:szCs w:val="22"/>
                <w:lang w:val="en-GB"/>
              </w:rPr>
            </w:pPr>
            <w:r>
              <w:rPr>
                <w:rFonts w:cs="Arial" w:ascii="Arial" w:hAnsi="Arial"/>
                <w:sz w:val="22"/>
                <w:szCs w:val="22"/>
                <w:lang w:val="en-GB"/>
              </w:rPr>
              <w:t>No negotiations shall be held during the Tender evaluation or award, with the lowest or any other Tenderer.</w:t>
            </w:r>
          </w:p>
        </w:tc>
      </w:tr>
      <w:tr>
        <w:trPr/>
        <w:tc>
          <w:tcPr>
            <w:tcW w:w="2222" w:type="dxa"/>
            <w:vMerge w:val="restart"/>
            <w:tcBorders/>
            <w:shd w:color="auto" w:fill="auto" w:val="clear"/>
          </w:tcPr>
          <w:p>
            <w:pPr>
              <w:pStyle w:val="Normal"/>
              <w:widowControl w:val="false"/>
              <w:numPr>
                <w:ilvl w:val="0"/>
                <w:numId w:val="31"/>
              </w:numPr>
              <w:spacing w:before="96" w:after="96"/>
              <w:ind w:left="360" w:hanging="346"/>
              <w:outlineLvl w:val="2"/>
              <w:rPr>
                <w:rStyle w:val="Heading3Char"/>
                <w:rFonts w:ascii="Arial" w:hAnsi="Arial"/>
                <w:b/>
                <w:b/>
                <w:sz w:val="22"/>
                <w:szCs w:val="22"/>
              </w:rPr>
            </w:pPr>
            <w:bookmarkStart w:id="338" w:name="_Toc438532655"/>
            <w:bookmarkStart w:id="339" w:name="_Toc49569808"/>
            <w:bookmarkStart w:id="340" w:name="_Toc49591718"/>
            <w:bookmarkStart w:id="341" w:name="_Toc438438861"/>
            <w:bookmarkStart w:id="342" w:name="_Toc438907042"/>
            <w:bookmarkStart w:id="343" w:name="_Toc438907241"/>
            <w:bookmarkStart w:id="344" w:name="_Toc37047311"/>
            <w:bookmarkStart w:id="345" w:name="_Toc49504672"/>
            <w:bookmarkStart w:id="346" w:name="_Toc49504238"/>
            <w:bookmarkStart w:id="347" w:name="_Toc421454250"/>
            <w:bookmarkStart w:id="348" w:name="_Toc49504791"/>
            <w:bookmarkStart w:id="349" w:name="_Toc49591370"/>
            <w:bookmarkStart w:id="350" w:name="_Toc438734005"/>
            <w:r>
              <w:rPr>
                <w:rStyle w:val="Heading3Char"/>
                <w:rFonts w:ascii="Arial" w:hAnsi="Arial"/>
                <w:b/>
                <w:sz w:val="22"/>
                <w:szCs w:val="22"/>
              </w:rPr>
              <w:t>Post-qualification</w:t>
            </w:r>
            <w:bookmarkEnd w:id="338"/>
            <w:bookmarkEnd w:id="339"/>
            <w:bookmarkEnd w:id="340"/>
            <w:bookmarkEnd w:id="341"/>
            <w:bookmarkEnd w:id="342"/>
            <w:bookmarkEnd w:id="343"/>
            <w:bookmarkEnd w:id="344"/>
            <w:bookmarkEnd w:id="345"/>
            <w:bookmarkEnd w:id="346"/>
            <w:bookmarkEnd w:id="347"/>
            <w:bookmarkEnd w:id="348"/>
            <w:bookmarkEnd w:id="349"/>
            <w:bookmarkEnd w:id="350"/>
          </w:p>
        </w:tc>
        <w:tc>
          <w:tcPr>
            <w:tcW w:w="7020" w:type="dxa"/>
            <w:gridSpan w:val="3"/>
            <w:tcBorders/>
          </w:tcPr>
          <w:p>
            <w:pPr>
              <w:pStyle w:val="Normal"/>
              <w:widowControl w:val="false"/>
              <w:numPr>
                <w:ilvl w:val="0"/>
                <w:numId w:val="30"/>
              </w:numPr>
              <w:tabs>
                <w:tab w:val="clear" w:pos="720"/>
                <w:tab w:val="left" w:pos="612" w:leader="none"/>
              </w:tabs>
              <w:spacing w:before="120" w:after="120"/>
              <w:ind w:left="619" w:hanging="612"/>
              <w:jc w:val="both"/>
              <w:rPr>
                <w:rFonts w:ascii="Arial" w:hAnsi="Arial" w:eastAsia="Times New Roman" w:cs="Arial"/>
                <w:spacing w:val="-4"/>
                <w:sz w:val="21"/>
                <w:szCs w:val="21"/>
                <w:lang w:val="en-GB" w:eastAsia="en-US"/>
              </w:rPr>
            </w:pPr>
            <w:r>
              <w:rPr>
                <w:rFonts w:cs="Arial" w:ascii="Arial" w:hAnsi="Arial"/>
                <w:sz w:val="22"/>
                <w:szCs w:val="22"/>
                <w:lang w:val="en-GB"/>
              </w:rPr>
              <w:t>The determination on Post-qualification shall be based upon an examination of the documentary evidence of the Tenderer’s eligibility and qualifications submitted by the Tenderer as stated under ITT Clause 26 and 28, clarifications as stated under ITT Clause 49 and the qualification criteria as stated under ITT Clause 12,13,14 and 15. Factors not included therein shall not be used in the evaluation of the Tenderer’s qualification.</w:t>
            </w:r>
          </w:p>
          <w:p>
            <w:pPr>
              <w:pStyle w:val="Normal"/>
              <w:widowControl w:val="false"/>
              <w:spacing w:before="120" w:after="120"/>
              <w:ind w:left="619" w:hanging="0"/>
              <w:jc w:val="both"/>
              <w:rPr>
                <w:rFonts w:ascii="Arial" w:hAnsi="Arial" w:eastAsia="Times New Roman" w:cs="Arial"/>
                <w:spacing w:val="-4"/>
                <w:sz w:val="21"/>
                <w:szCs w:val="21"/>
                <w:lang w:val="en-GB" w:eastAsia="en-US"/>
              </w:rPr>
            </w:pPr>
            <w:r>
              <w:rPr>
                <w:rFonts w:eastAsia="Times New Roman" w:cs="Arial" w:ascii="Arial" w:hAnsi="Arial"/>
                <w:spacing w:val="-4"/>
                <w:sz w:val="21"/>
                <w:szCs w:val="21"/>
                <w:lang w:val="en-GB" w:eastAsia="en-US"/>
              </w:rPr>
            </w:r>
          </w:p>
        </w:tc>
      </w:tr>
      <w:tr>
        <w:trPr/>
        <w:tc>
          <w:tcPr>
            <w:tcW w:w="2222" w:type="dxa"/>
            <w:vMerge w:val="continue"/>
            <w:tcBorders/>
            <w:shd w:color="auto" w:fill="auto" w:val="clear"/>
          </w:tcPr>
          <w:p>
            <w:pPr>
              <w:pStyle w:val="Heading4"/>
              <w:widowControl w:val="false"/>
              <w:spacing w:before="96" w:after="96"/>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Normal"/>
              <w:widowControl w:val="false"/>
              <w:numPr>
                <w:ilvl w:val="0"/>
                <w:numId w:val="30"/>
              </w:numPr>
              <w:tabs>
                <w:tab w:val="clear" w:pos="720"/>
              </w:tabs>
              <w:spacing w:before="0" w:after="96"/>
              <w:ind w:left="590" w:hanging="576"/>
              <w:jc w:val="both"/>
              <w:rPr>
                <w:rFonts w:ascii="Arial" w:hAnsi="Arial" w:eastAsia="Times New Roman" w:cs="Arial"/>
                <w:spacing w:val="-4"/>
                <w:sz w:val="21"/>
                <w:szCs w:val="21"/>
                <w:lang w:val="en-GB" w:eastAsia="en-US"/>
              </w:rPr>
            </w:pPr>
            <w:r>
              <w:rPr>
                <w:rFonts w:cs="Arial" w:ascii="Arial" w:hAnsi="Arial"/>
                <w:sz w:val="22"/>
                <w:szCs w:val="22"/>
                <w:lang w:val="en-GB"/>
              </w:rPr>
              <w:t>An affirmative determination shall be a prerequisite for award of the Contract to the Tenderer. A negative determination shall result in rejection of the Tenderer’s tender, in which event the TEC shall proceed to the next lowest evaluated tender to make a similar determination of that Tenderer’s capabilities to perform the Contract satisfactorily, if awarded.</w:t>
            </w:r>
          </w:p>
        </w:tc>
      </w:tr>
      <w:tr>
        <w:trPr/>
        <w:tc>
          <w:tcPr>
            <w:tcW w:w="2222" w:type="dxa"/>
            <w:vMerge w:val="continue"/>
            <w:tcBorders/>
            <w:shd w:color="auto" w:fill="auto" w:val="clear"/>
          </w:tcPr>
          <w:p>
            <w:pPr>
              <w:pStyle w:val="Heading4"/>
              <w:widowControl w:val="false"/>
              <w:spacing w:before="96" w:after="96"/>
              <w:rPr>
                <w:rFonts w:ascii="Arial" w:hAnsi="Arial" w:cs="Arial"/>
                <w:sz w:val="21"/>
                <w:szCs w:val="21"/>
                <w:lang w:val="en-GB"/>
              </w:rPr>
            </w:pPr>
            <w:r>
              <w:rPr>
                <w:rFonts w:cs="Arial" w:ascii="Arial" w:hAnsi="Arial"/>
                <w:sz w:val="21"/>
                <w:szCs w:val="21"/>
                <w:lang w:val="en-GB"/>
              </w:rPr>
            </w:r>
          </w:p>
        </w:tc>
        <w:tc>
          <w:tcPr>
            <w:tcW w:w="7020" w:type="dxa"/>
            <w:gridSpan w:val="3"/>
            <w:tcBorders/>
          </w:tcPr>
          <w:p>
            <w:pPr>
              <w:pStyle w:val="Normal"/>
              <w:widowControl w:val="false"/>
              <w:numPr>
                <w:ilvl w:val="0"/>
                <w:numId w:val="30"/>
              </w:numPr>
              <w:tabs>
                <w:tab w:val="clear" w:pos="720"/>
              </w:tabs>
              <w:spacing w:before="0" w:after="96"/>
              <w:ind w:left="590" w:hanging="576"/>
              <w:jc w:val="both"/>
              <w:rPr>
                <w:rFonts w:ascii="Arial" w:hAnsi="Arial" w:cs="Arial"/>
                <w:sz w:val="21"/>
                <w:szCs w:val="21"/>
                <w:lang w:val="en-GB"/>
              </w:rPr>
            </w:pPr>
            <w:r>
              <w:rPr>
                <w:rFonts w:cs="Arial" w:ascii="Arial" w:hAnsi="Arial"/>
                <w:sz w:val="22"/>
                <w:szCs w:val="22"/>
                <w:lang w:val="en-GB"/>
              </w:rPr>
              <w:t>TEC may verify information contained in the Tender by visiting the premises of the Tenderer as a part of the post qualification process, if practical and appropriate</w:t>
            </w:r>
            <w:r>
              <w:rPr>
                <w:rFonts w:cs="Arial" w:ascii="Arial" w:hAnsi="Arial"/>
                <w:sz w:val="21"/>
                <w:szCs w:val="21"/>
              </w:rPr>
              <w:t>.</w:t>
            </w:r>
          </w:p>
        </w:tc>
      </w:tr>
      <w:tr>
        <w:trPr/>
        <w:tc>
          <w:tcPr>
            <w:tcW w:w="2222" w:type="dxa"/>
            <w:tcBorders/>
          </w:tcPr>
          <w:p>
            <w:pPr>
              <w:pStyle w:val="Normal"/>
              <w:widowControl w:val="false"/>
              <w:numPr>
                <w:ilvl w:val="0"/>
                <w:numId w:val="31"/>
              </w:numPr>
              <w:spacing w:before="96" w:after="96"/>
              <w:ind w:left="360" w:hanging="346"/>
              <w:outlineLvl w:val="2"/>
              <w:rPr>
                <w:rStyle w:val="Heading3Char"/>
                <w:rFonts w:ascii="Arial" w:hAnsi="Arial"/>
                <w:b/>
                <w:b/>
                <w:sz w:val="22"/>
                <w:szCs w:val="22"/>
              </w:rPr>
            </w:pPr>
            <w:bookmarkStart w:id="351" w:name="_Toc311630868"/>
            <w:bookmarkStart w:id="352" w:name="_Toc421454251"/>
            <w:r>
              <w:rPr>
                <w:rStyle w:val="Heading3Char"/>
                <w:rFonts w:ascii="Arial" w:hAnsi="Arial"/>
                <w:b/>
                <w:sz w:val="22"/>
                <w:szCs w:val="22"/>
              </w:rPr>
              <w:t>Procuring Entity’s Right to Accept any or to Reject Any or All Tenders</w:t>
            </w:r>
            <w:bookmarkEnd w:id="351"/>
            <w:bookmarkEnd w:id="352"/>
          </w:p>
        </w:tc>
        <w:tc>
          <w:tcPr>
            <w:tcW w:w="7020" w:type="dxa"/>
            <w:gridSpan w:val="3"/>
            <w:tcBorders/>
          </w:tcPr>
          <w:p>
            <w:pPr>
              <w:pStyle w:val="Normal"/>
              <w:widowControl w:val="false"/>
              <w:numPr>
                <w:ilvl w:val="2"/>
                <w:numId w:val="30"/>
              </w:numPr>
              <w:spacing w:before="0" w:after="96"/>
              <w:jc w:val="both"/>
              <w:rPr>
                <w:rFonts w:ascii="Arial" w:hAnsi="Arial" w:eastAsia="Times New Roman" w:cs="Arial"/>
                <w:spacing w:val="-4"/>
                <w:sz w:val="21"/>
                <w:szCs w:val="21"/>
                <w:lang w:val="en-GB" w:eastAsia="en-US"/>
              </w:rPr>
            </w:pPr>
            <w:r>
              <w:rPr>
                <w:rFonts w:cs="Arial" w:ascii="Arial" w:hAnsi="Arial"/>
                <w:sz w:val="22"/>
                <w:szCs w:val="22"/>
                <w:lang w:val="en-GB"/>
              </w:rPr>
              <w:t>The Procuring Entity reserves the right to accept any Tender or to reject any or all the Tenders any time prior to contract award and, to annul the Procurement proceedings with prior approval of the Head of the Procuring Entity, any time prior to the deadline for submission of Tenders following specified procedures, without thereby incurring any liability to Tenderers, or any obligations to inform the Tenderers of the grounds for the Procuring Entity’s action.</w:t>
            </w:r>
          </w:p>
        </w:tc>
      </w:tr>
      <w:tr>
        <w:trPr/>
        <w:tc>
          <w:tcPr>
            <w:tcW w:w="2222" w:type="dxa"/>
            <w:vMerge w:val="restart"/>
            <w:tcBorders/>
          </w:tcPr>
          <w:p>
            <w:pPr>
              <w:pStyle w:val="Normal"/>
              <w:widowControl w:val="false"/>
              <w:numPr>
                <w:ilvl w:val="0"/>
                <w:numId w:val="31"/>
              </w:numPr>
              <w:spacing w:before="96" w:after="96"/>
              <w:ind w:left="360" w:hanging="346"/>
              <w:outlineLvl w:val="2"/>
              <w:rPr>
                <w:rStyle w:val="Heading3Char"/>
                <w:rFonts w:ascii="Arial" w:hAnsi="Arial"/>
                <w:b/>
                <w:b/>
                <w:sz w:val="22"/>
                <w:szCs w:val="22"/>
              </w:rPr>
            </w:pPr>
            <w:bookmarkStart w:id="353" w:name="_Toc421454252"/>
            <w:r>
              <w:rPr>
                <w:rStyle w:val="Heading3Char"/>
                <w:rFonts w:ascii="Arial" w:hAnsi="Arial"/>
                <w:b/>
                <w:sz w:val="22"/>
                <w:szCs w:val="22"/>
              </w:rPr>
              <w:t>Rejection of All Tenders</w:t>
            </w:r>
            <w:bookmarkEnd w:id="353"/>
          </w:p>
        </w:tc>
        <w:tc>
          <w:tcPr>
            <w:tcW w:w="7020" w:type="dxa"/>
            <w:gridSpan w:val="3"/>
            <w:tcBorders/>
          </w:tcPr>
          <w:p>
            <w:pPr>
              <w:pStyle w:val="Normal"/>
              <w:widowControl w:val="false"/>
              <w:numPr>
                <w:ilvl w:val="0"/>
                <w:numId w:val="104"/>
              </w:numPr>
              <w:spacing w:before="0" w:after="96"/>
              <w:jc w:val="both"/>
              <w:rPr>
                <w:rFonts w:ascii="Arial" w:hAnsi="Arial" w:eastAsia="Times New Roman" w:cs="Arial"/>
                <w:spacing w:val="-4"/>
                <w:sz w:val="22"/>
                <w:szCs w:val="22"/>
                <w:lang w:val="en-GB" w:eastAsia="en-US"/>
              </w:rPr>
            </w:pPr>
            <w:r>
              <w:rPr>
                <w:rFonts w:eastAsia="Times New Roman" w:cs="Arial" w:ascii="Arial" w:hAnsi="Arial"/>
                <w:spacing w:val="-4"/>
                <w:sz w:val="22"/>
                <w:szCs w:val="22"/>
                <w:lang w:val="en-GB" w:eastAsia="en-US"/>
              </w:rPr>
              <w:t>The Procuring Entity may, in the circumstances as stated under ITT Sub Clause 57.2, reject all Tenders following recommendations from the TEC only after the approval of such recommendations by the Head of the Procuring Entity.</w:t>
            </w:r>
          </w:p>
        </w:tc>
      </w:tr>
      <w:tr>
        <w:trPr>
          <w:trHeight w:val="3375" w:hRule="atLeast"/>
        </w:trPr>
        <w:tc>
          <w:tcPr>
            <w:tcW w:w="2222" w:type="dxa"/>
            <w:vMerge w:val="continue"/>
            <w:tcBorders/>
          </w:tcPr>
          <w:p>
            <w:pPr>
              <w:pStyle w:val="Normal"/>
              <w:widowControl w:val="false"/>
              <w:spacing w:before="96" w:after="96"/>
              <w:rPr>
                <w:rFonts w:ascii="Arial" w:hAnsi="Arial" w:cs="Arial"/>
                <w:sz w:val="21"/>
                <w:szCs w:val="21"/>
              </w:rPr>
            </w:pPr>
            <w:r>
              <w:rPr>
                <w:rFonts w:cs="Arial" w:ascii="Arial" w:hAnsi="Arial"/>
                <w:sz w:val="21"/>
                <w:szCs w:val="21"/>
              </w:rPr>
            </w:r>
          </w:p>
        </w:tc>
        <w:tc>
          <w:tcPr>
            <w:tcW w:w="7020" w:type="dxa"/>
            <w:gridSpan w:val="3"/>
            <w:tcBorders/>
          </w:tcPr>
          <w:p>
            <w:pPr>
              <w:pStyle w:val="Normal"/>
              <w:widowControl w:val="false"/>
              <w:numPr>
                <w:ilvl w:val="0"/>
                <w:numId w:val="104"/>
              </w:numPr>
              <w:spacing w:before="0" w:after="96"/>
              <w:jc w:val="both"/>
              <w:rPr>
                <w:rFonts w:ascii="Arial" w:hAnsi="Arial" w:cs="Arial"/>
                <w:sz w:val="22"/>
                <w:szCs w:val="22"/>
              </w:rPr>
            </w:pPr>
            <w:r>
              <w:rPr>
                <w:rFonts w:cs="Arial" w:ascii="Arial" w:hAnsi="Arial"/>
                <w:sz w:val="22"/>
                <w:szCs w:val="22"/>
              </w:rPr>
              <w:t>All Tenders can be rejected, if -</w:t>
            </w:r>
          </w:p>
          <w:p>
            <w:pPr>
              <w:pStyle w:val="Normal"/>
              <w:widowControl w:val="false"/>
              <w:numPr>
                <w:ilvl w:val="1"/>
                <w:numId w:val="104"/>
              </w:numPr>
              <w:tabs>
                <w:tab w:val="clear" w:pos="720"/>
                <w:tab w:val="left" w:pos="1152" w:leader="none"/>
              </w:tabs>
              <w:spacing w:before="0" w:after="40"/>
              <w:ind w:left="1152" w:hanging="562"/>
              <w:jc w:val="both"/>
              <w:rPr>
                <w:rFonts w:ascii="Arial" w:hAnsi="Arial" w:cs="Arial"/>
                <w:spacing w:val="-4"/>
                <w:sz w:val="22"/>
                <w:szCs w:val="22"/>
              </w:rPr>
            </w:pPr>
            <w:r>
              <w:rPr>
                <w:rFonts w:cs="Arial" w:ascii="Arial" w:hAnsi="Arial"/>
                <w:spacing w:val="-4"/>
                <w:sz w:val="22"/>
                <w:szCs w:val="22"/>
              </w:rPr>
              <w:t>the price of the lowest evaluated Tender   exceeds the official estimated cost, provided the estimate is realistic;  or</w:t>
            </w:r>
          </w:p>
          <w:p>
            <w:pPr>
              <w:pStyle w:val="Normal"/>
              <w:widowControl w:val="false"/>
              <w:numPr>
                <w:ilvl w:val="1"/>
                <w:numId w:val="104"/>
              </w:numPr>
              <w:tabs>
                <w:tab w:val="clear" w:pos="720"/>
                <w:tab w:val="left" w:pos="1152" w:leader="none"/>
              </w:tabs>
              <w:spacing w:before="0" w:after="40"/>
              <w:ind w:left="1152" w:hanging="562"/>
              <w:jc w:val="both"/>
              <w:rPr>
                <w:rFonts w:ascii="Arial" w:hAnsi="Arial" w:cs="Arial"/>
                <w:sz w:val="22"/>
                <w:szCs w:val="22"/>
              </w:rPr>
            </w:pPr>
            <w:r>
              <w:rPr>
                <w:rFonts w:cs="Arial" w:ascii="Arial" w:hAnsi="Arial"/>
                <w:sz w:val="22"/>
                <w:szCs w:val="22"/>
              </w:rPr>
              <w:t>there is evidence of lack of effective competition; such as non-participation by a number of potential Tenderers;  or</w:t>
            </w:r>
          </w:p>
          <w:p>
            <w:pPr>
              <w:pStyle w:val="Normal"/>
              <w:widowControl w:val="false"/>
              <w:numPr>
                <w:ilvl w:val="1"/>
                <w:numId w:val="104"/>
              </w:numPr>
              <w:tabs>
                <w:tab w:val="clear" w:pos="720"/>
                <w:tab w:val="left" w:pos="1152" w:leader="none"/>
              </w:tabs>
              <w:spacing w:before="0" w:after="40"/>
              <w:ind w:left="1152" w:hanging="562"/>
              <w:jc w:val="both"/>
              <w:rPr>
                <w:rFonts w:ascii="Arial" w:hAnsi="Arial" w:cs="Arial"/>
                <w:sz w:val="22"/>
                <w:szCs w:val="22"/>
              </w:rPr>
            </w:pPr>
            <w:r>
              <w:rPr>
                <w:rFonts w:cs="Arial" w:ascii="Arial" w:hAnsi="Arial"/>
                <w:sz w:val="22"/>
                <w:szCs w:val="22"/>
              </w:rPr>
              <w:t>the Tenderers are unable to propose  completion of  the delivery  within the stipulated time  in its  offer, though  the stipulated  time is reasonable and realistic; or</w:t>
            </w:r>
          </w:p>
          <w:p>
            <w:pPr>
              <w:pStyle w:val="Normal"/>
              <w:widowControl w:val="false"/>
              <w:numPr>
                <w:ilvl w:val="1"/>
                <w:numId w:val="104"/>
              </w:numPr>
              <w:tabs>
                <w:tab w:val="clear" w:pos="720"/>
                <w:tab w:val="left" w:pos="1152" w:leader="none"/>
              </w:tabs>
              <w:spacing w:before="0" w:after="40"/>
              <w:ind w:left="1152" w:hanging="562"/>
              <w:jc w:val="both"/>
              <w:rPr>
                <w:rFonts w:ascii="Arial" w:hAnsi="Arial" w:cs="Arial"/>
                <w:sz w:val="22"/>
                <w:szCs w:val="22"/>
              </w:rPr>
            </w:pPr>
            <w:r>
              <w:rPr>
                <w:rFonts w:cs="Arial" w:ascii="Arial" w:hAnsi="Arial"/>
                <w:sz w:val="22"/>
                <w:szCs w:val="22"/>
              </w:rPr>
              <w:t>all Tenders are non-responsive; or</w:t>
            </w:r>
          </w:p>
          <w:p>
            <w:pPr>
              <w:pStyle w:val="Normal"/>
              <w:widowControl w:val="false"/>
              <w:numPr>
                <w:ilvl w:val="1"/>
                <w:numId w:val="104"/>
              </w:numPr>
              <w:tabs>
                <w:tab w:val="clear" w:pos="720"/>
                <w:tab w:val="left" w:pos="1152" w:leader="none"/>
              </w:tabs>
              <w:spacing w:before="0" w:after="40"/>
              <w:ind w:left="1152" w:hanging="562"/>
              <w:jc w:val="both"/>
              <w:rPr>
                <w:rFonts w:ascii="Arial" w:hAnsi="Arial" w:cs="Arial"/>
                <w:sz w:val="22"/>
                <w:szCs w:val="22"/>
              </w:rPr>
            </w:pPr>
            <w:r>
              <w:rPr>
                <w:rFonts w:cs="Arial" w:ascii="Arial" w:hAnsi="Arial"/>
                <w:color w:val="000000"/>
                <w:sz w:val="22"/>
                <w:szCs w:val="22"/>
              </w:rPr>
              <w:t xml:space="preserve">evidence of professional misconduct, affecting seriously the Procurement process,  is established pursuant to Rule 127 of the  </w:t>
            </w:r>
            <w:r>
              <w:rPr>
                <w:rFonts w:cs="Arial" w:ascii="Arial" w:hAnsi="Arial"/>
                <w:sz w:val="22"/>
                <w:szCs w:val="22"/>
                <w:lang w:val="en-GB"/>
              </w:rPr>
              <w:t>Public Procurement Rules, 2008</w:t>
            </w:r>
            <w:r>
              <w:rPr>
                <w:rFonts w:cs="Arial" w:ascii="Arial" w:hAnsi="Arial"/>
                <w:color w:val="000000"/>
                <w:sz w:val="22"/>
                <w:szCs w:val="22"/>
              </w:rPr>
              <w:t>.</w:t>
            </w:r>
          </w:p>
        </w:tc>
      </w:tr>
      <w:tr>
        <w:trPr>
          <w:trHeight w:val="900" w:hRule="atLeast"/>
        </w:trPr>
        <w:tc>
          <w:tcPr>
            <w:tcW w:w="2222" w:type="dxa"/>
            <w:vMerge w:val="continue"/>
            <w:tcBorders/>
          </w:tcPr>
          <w:p>
            <w:pPr>
              <w:pStyle w:val="Normal"/>
              <w:widowControl w:val="false"/>
              <w:spacing w:before="96" w:after="96"/>
              <w:rPr>
                <w:rFonts w:ascii="Arial" w:hAnsi="Arial" w:cs="Arial"/>
                <w:sz w:val="21"/>
                <w:szCs w:val="21"/>
              </w:rPr>
            </w:pPr>
            <w:r>
              <w:rPr>
                <w:rFonts w:cs="Arial" w:ascii="Arial" w:hAnsi="Arial"/>
                <w:sz w:val="21"/>
                <w:szCs w:val="21"/>
              </w:rPr>
            </w:r>
          </w:p>
        </w:tc>
        <w:tc>
          <w:tcPr>
            <w:tcW w:w="7020" w:type="dxa"/>
            <w:gridSpan w:val="3"/>
            <w:tcBorders/>
          </w:tcPr>
          <w:p>
            <w:pPr>
              <w:pStyle w:val="Normal"/>
              <w:widowControl w:val="false"/>
              <w:numPr>
                <w:ilvl w:val="0"/>
                <w:numId w:val="104"/>
              </w:numPr>
              <w:spacing w:before="0" w:after="96"/>
              <w:jc w:val="both"/>
              <w:rPr>
                <w:rFonts w:ascii="Arial" w:hAnsi="Arial" w:cs="Arial"/>
                <w:sz w:val="22"/>
                <w:szCs w:val="22"/>
              </w:rPr>
            </w:pPr>
            <w:r>
              <w:rPr>
                <w:rFonts w:eastAsia="Times New Roman" w:cs="Arial" w:ascii="Arial" w:hAnsi="Arial"/>
                <w:spacing w:val="-4"/>
                <w:sz w:val="22"/>
                <w:szCs w:val="22"/>
                <w:lang w:val="en-GB" w:eastAsia="en-US"/>
              </w:rPr>
              <w:t>Notwithstanding anything contained in ITT Sub Clause 57.2 Tenders may not be rejected if the lowest evaluated price is in conformity with the market price.</w:t>
            </w:r>
          </w:p>
        </w:tc>
      </w:tr>
      <w:tr>
        <w:trPr/>
        <w:tc>
          <w:tcPr>
            <w:tcW w:w="2222" w:type="dxa"/>
            <w:tcBorders/>
          </w:tcPr>
          <w:p>
            <w:pPr>
              <w:pStyle w:val="Normal"/>
              <w:widowControl w:val="false"/>
              <w:numPr>
                <w:ilvl w:val="0"/>
                <w:numId w:val="31"/>
              </w:numPr>
              <w:spacing w:before="96" w:after="96"/>
              <w:ind w:left="360" w:hanging="346"/>
              <w:outlineLvl w:val="2"/>
              <w:rPr>
                <w:rStyle w:val="Heading3Char"/>
                <w:rFonts w:ascii="Arial" w:hAnsi="Arial"/>
                <w:b/>
                <w:b/>
                <w:sz w:val="22"/>
                <w:szCs w:val="22"/>
              </w:rPr>
            </w:pPr>
            <w:bookmarkStart w:id="354" w:name="_Toc421454253"/>
            <w:r>
              <w:rPr>
                <w:rStyle w:val="Heading3Char"/>
                <w:rFonts w:ascii="Arial" w:hAnsi="Arial"/>
                <w:b/>
                <w:sz w:val="22"/>
                <w:szCs w:val="22"/>
              </w:rPr>
              <w:t>Informing Reasons for Rejection</w:t>
            </w:r>
            <w:bookmarkEnd w:id="354"/>
          </w:p>
        </w:tc>
        <w:tc>
          <w:tcPr>
            <w:tcW w:w="7020" w:type="dxa"/>
            <w:gridSpan w:val="3"/>
            <w:tcBorders/>
          </w:tcPr>
          <w:p>
            <w:pPr>
              <w:pStyle w:val="SubClauseText"/>
              <w:widowControl w:val="false"/>
              <w:numPr>
                <w:ilvl w:val="0"/>
                <w:numId w:val="147"/>
              </w:numPr>
              <w:spacing w:before="96" w:after="96"/>
              <w:rPr>
                <w:rFonts w:ascii="Arial" w:hAnsi="Arial" w:cs="Arial"/>
                <w:sz w:val="22"/>
                <w:szCs w:val="22"/>
                <w:lang w:val="en-GB"/>
              </w:rPr>
            </w:pPr>
            <w:r>
              <w:rPr>
                <w:rFonts w:cs="Arial" w:ascii="Arial" w:hAnsi="Arial"/>
                <w:sz w:val="22"/>
                <w:szCs w:val="22"/>
                <w:lang w:val="en-GB"/>
              </w:rPr>
              <w:t>Notice of the rejection will be given promptly within seven (7) working days of decision taken by the Procuring Entity to all Tenderers and, the Procuring Entity will, upon receipt of a written request, communicate to any Tenderer the reason(s) for its rejection but is not required to justify those reason(s).</w:t>
            </w:r>
          </w:p>
        </w:tc>
      </w:tr>
      <w:tr>
        <w:trPr/>
        <w:tc>
          <w:tcPr>
            <w:tcW w:w="9242" w:type="dxa"/>
            <w:gridSpan w:val="4"/>
            <w:tcBorders/>
          </w:tcPr>
          <w:p>
            <w:pPr>
              <w:pStyle w:val="Heading2"/>
              <w:widowControl w:val="false"/>
              <w:spacing w:before="120" w:after="120"/>
              <w:rPr>
                <w:rFonts w:ascii="Arial" w:hAnsi="Arial"/>
                <w:sz w:val="32"/>
                <w:szCs w:val="32"/>
                <w:lang w:val="en-GB"/>
              </w:rPr>
            </w:pPr>
            <w:bookmarkStart w:id="355" w:name="_Toc37047313"/>
            <w:bookmarkStart w:id="356" w:name="_Toc49504241"/>
            <w:bookmarkStart w:id="357" w:name="_Toc505659528"/>
            <w:bookmarkStart w:id="358" w:name="_Toc49504794"/>
            <w:bookmarkStart w:id="359" w:name="_Toc49591721"/>
            <w:bookmarkStart w:id="360" w:name="_Toc49569811"/>
            <w:bookmarkStart w:id="361" w:name="_Toc49504675"/>
            <w:bookmarkStart w:id="362" w:name="_Toc421454254"/>
            <w:bookmarkStart w:id="363" w:name="_Toc49591373"/>
            <w:r>
              <w:rPr>
                <w:rFonts w:ascii="Arial" w:hAnsi="Arial"/>
                <w:sz w:val="32"/>
                <w:szCs w:val="32"/>
                <w:lang w:val="en-GB"/>
              </w:rPr>
              <w:t>G.</w:t>
              <w:tab/>
              <w:t>Contract Award</w:t>
            </w:r>
            <w:bookmarkEnd w:id="355"/>
            <w:bookmarkEnd w:id="356"/>
            <w:bookmarkEnd w:id="357"/>
            <w:bookmarkEnd w:id="358"/>
            <w:bookmarkEnd w:id="359"/>
            <w:bookmarkEnd w:id="360"/>
            <w:bookmarkEnd w:id="361"/>
            <w:bookmarkEnd w:id="362"/>
            <w:bookmarkEnd w:id="363"/>
          </w:p>
        </w:tc>
      </w:tr>
      <w:tr>
        <w:trPr/>
        <w:tc>
          <w:tcPr>
            <w:tcW w:w="2403" w:type="dxa"/>
            <w:gridSpan w:val="3"/>
            <w:tcBorders/>
          </w:tcPr>
          <w:p>
            <w:pPr>
              <w:pStyle w:val="Normal"/>
              <w:widowControl w:val="false"/>
              <w:numPr>
                <w:ilvl w:val="0"/>
                <w:numId w:val="31"/>
              </w:numPr>
              <w:spacing w:before="120" w:after="0"/>
              <w:ind w:left="360" w:hanging="346"/>
              <w:outlineLvl w:val="2"/>
              <w:rPr>
                <w:rStyle w:val="Heading3Char"/>
                <w:rFonts w:ascii="Arial" w:hAnsi="Arial"/>
                <w:b/>
                <w:b/>
                <w:sz w:val="22"/>
                <w:szCs w:val="22"/>
              </w:rPr>
            </w:pPr>
            <w:bookmarkStart w:id="364" w:name="_Toc438907044"/>
            <w:bookmarkStart w:id="365" w:name="_Toc49569812"/>
            <w:bookmarkStart w:id="366" w:name="_Toc49504795"/>
            <w:bookmarkStart w:id="367" w:name="_Toc438438864"/>
            <w:bookmarkStart w:id="368" w:name="_Toc438532658"/>
            <w:bookmarkStart w:id="369" w:name="_Toc438734008"/>
            <w:bookmarkStart w:id="370" w:name="_Toc37047314"/>
            <w:bookmarkStart w:id="371" w:name="_Toc49504242"/>
            <w:bookmarkStart w:id="372" w:name="_Toc49591374"/>
            <w:bookmarkStart w:id="373" w:name="_Toc49591722"/>
            <w:bookmarkStart w:id="374" w:name="_Toc421454255"/>
            <w:bookmarkStart w:id="375" w:name="_Toc49504676"/>
            <w:bookmarkStart w:id="376" w:name="_Toc438907243"/>
            <w:r>
              <w:rPr>
                <w:rStyle w:val="Heading3Char"/>
                <w:rFonts w:ascii="Arial" w:hAnsi="Arial"/>
                <w:b/>
                <w:sz w:val="22"/>
                <w:szCs w:val="22"/>
              </w:rPr>
              <w:t>Award Criteria</w:t>
            </w:r>
            <w:bookmarkEnd w:id="364"/>
            <w:bookmarkEnd w:id="365"/>
            <w:bookmarkEnd w:id="366"/>
            <w:bookmarkEnd w:id="367"/>
            <w:bookmarkEnd w:id="368"/>
            <w:bookmarkEnd w:id="369"/>
            <w:bookmarkEnd w:id="370"/>
            <w:bookmarkEnd w:id="371"/>
            <w:bookmarkEnd w:id="372"/>
            <w:bookmarkEnd w:id="373"/>
            <w:bookmarkEnd w:id="374"/>
            <w:bookmarkEnd w:id="375"/>
            <w:bookmarkEnd w:id="376"/>
          </w:p>
        </w:tc>
        <w:tc>
          <w:tcPr>
            <w:tcW w:w="6839" w:type="dxa"/>
            <w:tcBorders/>
          </w:tcPr>
          <w:p>
            <w:pPr>
              <w:pStyle w:val="SubClauseText"/>
              <w:widowControl w:val="false"/>
              <w:numPr>
                <w:ilvl w:val="0"/>
                <w:numId w:val="148"/>
              </w:numPr>
              <w:tabs>
                <w:tab w:val="clear" w:pos="720"/>
                <w:tab w:val="left" w:pos="612" w:leader="none"/>
              </w:tabs>
              <w:spacing w:before="120" w:after="0"/>
              <w:ind w:left="612" w:hanging="612"/>
              <w:rPr>
                <w:rFonts w:ascii="Arial" w:hAnsi="Arial" w:cs="Arial"/>
                <w:sz w:val="22"/>
                <w:szCs w:val="22"/>
                <w:lang w:val="en-GB"/>
              </w:rPr>
            </w:pPr>
            <w:r>
              <w:rPr>
                <w:rFonts w:cs="Arial" w:ascii="Arial" w:hAnsi="Arial"/>
                <w:sz w:val="22"/>
                <w:szCs w:val="22"/>
                <w:lang w:val="en-GB"/>
              </w:rPr>
              <w:t>The Procuring Entity shall award the Contract to the Tenderer whose Tender is  responsive to the Tender Document and that has been determined to be the lowest evaluated Tender, provided further that the Tenderer is determined to be Post-qualified as stated under ITT Clause 55.</w:t>
            </w:r>
          </w:p>
        </w:tc>
      </w:tr>
      <w:tr>
        <w:trPr/>
        <w:tc>
          <w:tcPr>
            <w:tcW w:w="2403" w:type="dxa"/>
            <w:gridSpan w:val="3"/>
            <w:tcBorders/>
          </w:tcPr>
          <w:p>
            <w:pPr>
              <w:pStyle w:val="Normal"/>
              <w:widowControl w:val="false"/>
              <w:spacing w:before="120" w:after="0"/>
              <w:rPr>
                <w:rFonts w:ascii="Arial" w:hAnsi="Arial" w:cs="Arial"/>
                <w:sz w:val="21"/>
                <w:szCs w:val="21"/>
              </w:rPr>
            </w:pPr>
            <w:r>
              <w:rPr>
                <w:rFonts w:cs="Arial" w:ascii="Arial" w:hAnsi="Arial"/>
                <w:sz w:val="21"/>
                <w:szCs w:val="21"/>
              </w:rPr>
            </w:r>
          </w:p>
        </w:tc>
        <w:tc>
          <w:tcPr>
            <w:tcW w:w="6839" w:type="dxa"/>
            <w:tcBorders/>
          </w:tcPr>
          <w:p>
            <w:pPr>
              <w:pStyle w:val="SubClauseText"/>
              <w:widowControl w:val="false"/>
              <w:numPr>
                <w:ilvl w:val="0"/>
                <w:numId w:val="148"/>
              </w:numPr>
              <w:tabs>
                <w:tab w:val="clear" w:pos="720"/>
                <w:tab w:val="left" w:pos="612" w:leader="none"/>
              </w:tabs>
              <w:spacing w:before="120" w:after="80"/>
              <w:ind w:left="612" w:hanging="612"/>
              <w:rPr>
                <w:rFonts w:ascii="Arial" w:hAnsi="Arial" w:cs="Arial"/>
                <w:sz w:val="22"/>
                <w:szCs w:val="22"/>
              </w:rPr>
            </w:pPr>
            <w:r>
              <w:rPr>
                <w:rFonts w:cs="Arial" w:ascii="Arial" w:hAnsi="Arial"/>
                <w:sz w:val="22"/>
                <w:szCs w:val="22"/>
                <w:lang w:val="en-GB"/>
              </w:rPr>
              <w:t>Tenderers will not be required, as a condition for award, to undertake responsibilities not stipulated in the Tender documents, to change its price, or otherwise to modify its Tender.</w:t>
            </w:r>
          </w:p>
        </w:tc>
      </w:tr>
      <w:tr>
        <w:trPr/>
        <w:tc>
          <w:tcPr>
            <w:tcW w:w="2403" w:type="dxa"/>
            <w:gridSpan w:val="3"/>
            <w:tcBorders/>
          </w:tcPr>
          <w:p>
            <w:pPr>
              <w:pStyle w:val="Normal"/>
              <w:widowControl w:val="false"/>
              <w:numPr>
                <w:ilvl w:val="0"/>
                <w:numId w:val="31"/>
              </w:numPr>
              <w:spacing w:before="120" w:after="0"/>
              <w:ind w:left="360" w:hanging="346"/>
              <w:outlineLvl w:val="2"/>
              <w:rPr>
                <w:rStyle w:val="Heading3Char"/>
                <w:rFonts w:ascii="Arial" w:hAnsi="Arial"/>
                <w:b/>
                <w:b/>
                <w:sz w:val="22"/>
                <w:szCs w:val="22"/>
              </w:rPr>
            </w:pPr>
            <w:bookmarkStart w:id="377" w:name="_Toc438734009"/>
            <w:bookmarkStart w:id="378" w:name="_Toc49591375"/>
            <w:bookmarkStart w:id="379" w:name="_Toc438907045"/>
            <w:bookmarkStart w:id="380" w:name="_Toc49504796"/>
            <w:bookmarkStart w:id="381" w:name="_Toc421454256"/>
            <w:bookmarkStart w:id="382" w:name="_Toc438532659"/>
            <w:bookmarkStart w:id="383" w:name="_Toc49504677"/>
            <w:bookmarkStart w:id="384" w:name="_Toc49591723"/>
            <w:bookmarkStart w:id="385" w:name="_Toc37047315"/>
            <w:bookmarkStart w:id="386" w:name="_Toc438438865"/>
            <w:bookmarkStart w:id="387" w:name="_Toc49504243"/>
            <w:bookmarkStart w:id="388" w:name="_Toc438907244"/>
            <w:bookmarkStart w:id="389" w:name="_Toc49569813"/>
            <w:r>
              <w:rPr>
                <w:rStyle w:val="Heading3Char"/>
                <w:rFonts w:ascii="Arial" w:hAnsi="Arial"/>
                <w:b/>
                <w:sz w:val="22"/>
                <w:szCs w:val="22"/>
              </w:rPr>
              <w:t>Procuring Entity’s Right to Vary Quantities</w:t>
            </w:r>
            <w:bookmarkEnd w:id="377"/>
            <w:bookmarkEnd w:id="378"/>
            <w:bookmarkEnd w:id="379"/>
            <w:bookmarkEnd w:id="380"/>
            <w:bookmarkEnd w:id="381"/>
            <w:bookmarkEnd w:id="382"/>
            <w:bookmarkEnd w:id="383"/>
            <w:bookmarkEnd w:id="384"/>
            <w:bookmarkEnd w:id="385"/>
            <w:bookmarkEnd w:id="386"/>
            <w:bookmarkEnd w:id="387"/>
            <w:bookmarkEnd w:id="388"/>
            <w:bookmarkEnd w:id="389"/>
          </w:p>
        </w:tc>
        <w:tc>
          <w:tcPr>
            <w:tcW w:w="6839" w:type="dxa"/>
            <w:tcBorders/>
          </w:tcPr>
          <w:p>
            <w:pPr>
              <w:pStyle w:val="SubClauseText"/>
              <w:widowControl w:val="false"/>
              <w:numPr>
                <w:ilvl w:val="0"/>
                <w:numId w:val="92"/>
              </w:numPr>
              <w:spacing w:before="120" w:after="80"/>
              <w:rPr>
                <w:rFonts w:ascii="Arial" w:hAnsi="Arial" w:cs="Arial"/>
                <w:sz w:val="22"/>
                <w:szCs w:val="22"/>
                <w:lang w:val="en-GB"/>
              </w:rPr>
            </w:pPr>
            <w:r>
              <w:rPr>
                <w:rFonts w:cs="Arial" w:ascii="Arial" w:hAnsi="Arial"/>
                <w:sz w:val="22"/>
                <w:szCs w:val="22"/>
                <w:lang w:val="en-GB"/>
              </w:rPr>
              <w:t xml:space="preserve">The Procuring Entity, within the amount approved, reserves the right at the time of Contract Award to increase or decrease the quantity per item of Goods and related Services originally specified in Section 6: Schedule of Requirements, provided this does not exceed the percentage specified in the </w:t>
            </w:r>
            <w:r>
              <w:rPr>
                <w:rFonts w:cs="Arial" w:ascii="Arial" w:hAnsi="Arial"/>
                <w:b/>
                <w:sz w:val="22"/>
                <w:szCs w:val="22"/>
                <w:lang w:val="en-GB"/>
              </w:rPr>
              <w:t>TDS,</w:t>
            </w:r>
            <w:r>
              <w:rPr>
                <w:rFonts w:cs="Arial" w:ascii="Arial" w:hAnsi="Arial"/>
                <w:sz w:val="22"/>
                <w:szCs w:val="22"/>
                <w:lang w:val="en-GB"/>
              </w:rPr>
              <w:t xml:space="preserve"> and without any change in the unit prices or other terms and conditions of the Tender and the Tender Document.</w:t>
            </w:r>
          </w:p>
        </w:tc>
      </w:tr>
      <w:tr>
        <w:trPr/>
        <w:tc>
          <w:tcPr>
            <w:tcW w:w="2403" w:type="dxa"/>
            <w:gridSpan w:val="3"/>
            <w:vMerge w:val="restart"/>
            <w:tcBorders/>
            <w:shd w:color="auto" w:fill="auto" w:val="clear"/>
          </w:tcPr>
          <w:p>
            <w:pPr>
              <w:pStyle w:val="Normal"/>
              <w:widowControl w:val="false"/>
              <w:numPr>
                <w:ilvl w:val="0"/>
                <w:numId w:val="31"/>
              </w:numPr>
              <w:spacing w:before="120" w:after="0"/>
              <w:ind w:left="360" w:hanging="346"/>
              <w:outlineLvl w:val="2"/>
              <w:rPr>
                <w:rStyle w:val="Heading3Char"/>
                <w:rFonts w:ascii="Arial" w:hAnsi="Arial"/>
                <w:b/>
                <w:b/>
                <w:sz w:val="22"/>
                <w:szCs w:val="22"/>
              </w:rPr>
            </w:pPr>
            <w:bookmarkStart w:id="390" w:name="_Toc49591724"/>
            <w:bookmarkStart w:id="391" w:name="_Toc421454257"/>
            <w:bookmarkStart w:id="392" w:name="_Toc49504244"/>
            <w:bookmarkStart w:id="393" w:name="_Toc438438866"/>
            <w:bookmarkStart w:id="394" w:name="_Toc438532660"/>
            <w:bookmarkStart w:id="395" w:name="_Toc438734010"/>
            <w:bookmarkStart w:id="396" w:name="_Toc37047316"/>
            <w:bookmarkStart w:id="397" w:name="_Toc37234087"/>
            <w:bookmarkStart w:id="398" w:name="_Toc49504678"/>
            <w:bookmarkStart w:id="399" w:name="_Toc49569814"/>
            <w:bookmarkStart w:id="400" w:name="_Toc49591376"/>
            <w:bookmarkStart w:id="401" w:name="_Toc49504797"/>
            <w:bookmarkStart w:id="402" w:name="_Toc438907245"/>
            <w:bookmarkStart w:id="403" w:name="_Toc438907046"/>
            <w:r>
              <w:rPr>
                <w:rStyle w:val="Heading3Char"/>
                <w:rFonts w:ascii="Arial" w:hAnsi="Arial"/>
                <w:b/>
                <w:sz w:val="22"/>
                <w:szCs w:val="22"/>
              </w:rPr>
              <w:t>Notification of Award</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tc>
        <w:tc>
          <w:tcPr>
            <w:tcW w:w="6839" w:type="dxa"/>
            <w:tcBorders/>
          </w:tcPr>
          <w:p>
            <w:pPr>
              <w:pStyle w:val="SubClauseText"/>
              <w:keepNext w:val="true"/>
              <w:keepLines/>
              <w:widowControl w:val="false"/>
              <w:numPr>
                <w:ilvl w:val="0"/>
                <w:numId w:val="93"/>
              </w:numPr>
              <w:spacing w:before="120" w:after="80"/>
              <w:rPr>
                <w:rFonts w:ascii="Arial" w:hAnsi="Arial" w:cs="Arial"/>
                <w:sz w:val="22"/>
                <w:szCs w:val="22"/>
                <w:lang w:val="en-GB"/>
              </w:rPr>
            </w:pPr>
            <w:r>
              <w:rPr>
                <w:rFonts w:ascii="Arial" w:hAnsi="Arial"/>
                <w:sz w:val="22"/>
                <w:szCs w:val="22"/>
                <w:lang w:val="en-GB"/>
              </w:rPr>
              <w:t>Prior to the expiry of the Tender Validity period and within one (1) week of receipt of the approval of the award by the Approving Authority</w:t>
            </w:r>
            <w:r>
              <w:fldChar w:fldCharType="begin"/>
            </w:r>
            <w:r>
              <w:rPr>
                <w:sz w:val="22"/>
                <w:szCs w:val="22"/>
                <w:rFonts w:ascii="Arial" w:hAnsi="Arial"/>
                <w:lang w:val="en-GB"/>
              </w:rPr>
              <w:instrText> XE "Approving Authority: : " </w:instrText>
            </w:r>
            <w:r>
              <w:rPr>
                <w:sz w:val="22"/>
                <w:szCs w:val="22"/>
                <w:rFonts w:ascii="Arial" w:hAnsi="Arial"/>
                <w:lang w:val="en-GB"/>
              </w:rPr>
              <w:fldChar w:fldCharType="separate"/>
            </w:r>
            <w:r>
              <w:rPr>
                <w:rFonts w:ascii="Arial" w:hAnsi="Arial"/>
                <w:sz w:val="22"/>
                <w:szCs w:val="22"/>
                <w:lang w:val="en-GB"/>
              </w:rPr>
            </w:r>
            <w:r>
              <w:rPr>
                <w:sz w:val="22"/>
                <w:szCs w:val="22"/>
                <w:rFonts w:ascii="Arial" w:hAnsi="Arial"/>
                <w:lang w:val="en-GB"/>
              </w:rPr>
              <w:fldChar w:fldCharType="end"/>
            </w:r>
            <w:r>
              <w:rPr>
                <w:rFonts w:ascii="Arial" w:hAnsi="Arial"/>
                <w:sz w:val="22"/>
                <w:szCs w:val="22"/>
                <w:lang w:val="en-GB"/>
              </w:rPr>
              <w:t>, the Procuring Entity shall issue the Notification of Award (NOA) to the successful Tenderer(s).</w:t>
            </w:r>
          </w:p>
        </w:tc>
      </w:tr>
      <w:tr>
        <w:trPr/>
        <w:tc>
          <w:tcPr>
            <w:tcW w:w="2403" w:type="dxa"/>
            <w:gridSpan w:val="3"/>
            <w:vMerge w:val="continue"/>
            <w:tcBorders/>
            <w:shd w:color="auto" w:fill="auto" w:val="clear"/>
          </w:tcPr>
          <w:p>
            <w:pPr>
              <w:pStyle w:val="Heading4"/>
              <w:widowControl w:val="false"/>
              <w:spacing w:before="120" w:after="0"/>
              <w:rPr>
                <w:rFonts w:ascii="Arial" w:hAnsi="Arial" w:cs="Arial"/>
                <w:sz w:val="21"/>
                <w:szCs w:val="21"/>
                <w:lang w:val="en-GB"/>
              </w:rPr>
            </w:pPr>
            <w:r>
              <w:rPr>
                <w:rFonts w:cs="Arial" w:ascii="Arial" w:hAnsi="Arial"/>
                <w:sz w:val="21"/>
                <w:szCs w:val="21"/>
                <w:lang w:val="en-GB"/>
              </w:rPr>
            </w:r>
          </w:p>
        </w:tc>
        <w:tc>
          <w:tcPr>
            <w:tcW w:w="6839" w:type="dxa"/>
            <w:tcBorders/>
          </w:tcPr>
          <w:p>
            <w:pPr>
              <w:pStyle w:val="SubClauseText"/>
              <w:keepNext w:val="true"/>
              <w:keepLines/>
              <w:widowControl w:val="false"/>
              <w:numPr>
                <w:ilvl w:val="0"/>
                <w:numId w:val="93"/>
              </w:numPr>
              <w:spacing w:before="120" w:after="80"/>
              <w:rPr>
                <w:rFonts w:ascii="Arial" w:hAnsi="Arial" w:cs="Arial"/>
                <w:sz w:val="22"/>
                <w:szCs w:val="22"/>
                <w:lang w:val="en-GB"/>
              </w:rPr>
            </w:pPr>
            <w:r>
              <w:rPr>
                <w:rFonts w:cs="Arial" w:ascii="Arial" w:hAnsi="Arial"/>
                <w:sz w:val="22"/>
                <w:szCs w:val="22"/>
                <w:lang w:val="en-GB"/>
              </w:rPr>
              <w:t xml:space="preserve">The NOA, attaching the contract as per the sample </w:t>
            </w:r>
            <w:r>
              <w:rPr>
                <w:rFonts w:cs="Arial" w:ascii="Arial" w:hAnsi="Arial"/>
                <w:b/>
                <w:sz w:val="22"/>
                <w:szCs w:val="22"/>
                <w:lang w:val="en-GB"/>
              </w:rPr>
              <w:t>(Form PG3-9)</w:t>
            </w:r>
            <w:r>
              <w:rPr>
                <w:rFonts w:cs="Arial" w:ascii="Arial" w:hAnsi="Arial"/>
                <w:sz w:val="22"/>
                <w:szCs w:val="22"/>
                <w:lang w:val="en-GB"/>
              </w:rPr>
              <w:t xml:space="preserve"> to be signed,  shall state:</w:t>
            </w:r>
          </w:p>
          <w:p>
            <w:pPr>
              <w:pStyle w:val="Normal"/>
              <w:widowControl w:val="false"/>
              <w:numPr>
                <w:ilvl w:val="1"/>
                <w:numId w:val="7"/>
              </w:numPr>
              <w:tabs>
                <w:tab w:val="clear" w:pos="720"/>
              </w:tabs>
              <w:spacing w:before="120" w:after="80"/>
              <w:ind w:left="1109" w:hanging="274"/>
              <w:jc w:val="both"/>
              <w:rPr>
                <w:rFonts w:ascii="Arial" w:hAnsi="Arial" w:cs="Arial"/>
                <w:sz w:val="22"/>
                <w:szCs w:val="22"/>
              </w:rPr>
            </w:pPr>
            <w:r>
              <w:rPr>
                <w:rFonts w:cs="Arial" w:ascii="Arial" w:hAnsi="Arial"/>
                <w:sz w:val="22"/>
                <w:szCs w:val="22"/>
              </w:rPr>
              <w:t>the acceptance of the Tender by the Procuring Entity;</w:t>
            </w:r>
          </w:p>
          <w:p>
            <w:pPr>
              <w:pStyle w:val="Normal"/>
              <w:widowControl w:val="false"/>
              <w:numPr>
                <w:ilvl w:val="1"/>
                <w:numId w:val="7"/>
              </w:numPr>
              <w:tabs>
                <w:tab w:val="clear" w:pos="720"/>
              </w:tabs>
              <w:spacing w:before="120" w:after="80"/>
              <w:ind w:left="1109" w:hanging="274"/>
              <w:jc w:val="both"/>
              <w:rPr>
                <w:rFonts w:ascii="Arial" w:hAnsi="Arial" w:cs="Arial"/>
                <w:sz w:val="22"/>
                <w:szCs w:val="22"/>
              </w:rPr>
            </w:pPr>
            <w:r>
              <w:rPr>
                <w:rFonts w:cs="Arial" w:ascii="Arial" w:hAnsi="Arial"/>
                <w:sz w:val="22"/>
                <w:szCs w:val="22"/>
              </w:rPr>
              <w:t>the price at which the contract is awarded;</w:t>
            </w:r>
          </w:p>
          <w:p>
            <w:pPr>
              <w:pStyle w:val="Normal"/>
              <w:widowControl w:val="false"/>
              <w:numPr>
                <w:ilvl w:val="1"/>
                <w:numId w:val="7"/>
              </w:numPr>
              <w:tabs>
                <w:tab w:val="clear" w:pos="720"/>
              </w:tabs>
              <w:spacing w:before="120" w:after="80"/>
              <w:ind w:left="1109" w:hanging="274"/>
              <w:jc w:val="both"/>
              <w:rPr>
                <w:rFonts w:ascii="Arial" w:hAnsi="Arial" w:cs="Arial"/>
                <w:sz w:val="22"/>
                <w:szCs w:val="22"/>
              </w:rPr>
            </w:pPr>
            <w:r>
              <w:rPr>
                <w:rFonts w:cs="Arial" w:ascii="Arial" w:hAnsi="Arial"/>
                <w:sz w:val="22"/>
                <w:szCs w:val="22"/>
              </w:rPr>
              <w:t>the amount of the Performance Security and its format;</w:t>
            </w:r>
          </w:p>
          <w:p>
            <w:pPr>
              <w:pStyle w:val="Normal"/>
              <w:widowControl w:val="false"/>
              <w:numPr>
                <w:ilvl w:val="1"/>
                <w:numId w:val="7"/>
              </w:numPr>
              <w:tabs>
                <w:tab w:val="clear" w:pos="720"/>
              </w:tabs>
              <w:spacing w:before="120" w:after="80"/>
              <w:ind w:left="1109" w:hanging="274"/>
              <w:jc w:val="both"/>
              <w:rPr>
                <w:rFonts w:ascii="Arial" w:hAnsi="Arial" w:cs="Arial"/>
                <w:sz w:val="22"/>
                <w:szCs w:val="22"/>
              </w:rPr>
            </w:pPr>
            <w:r>
              <w:rPr>
                <w:rFonts w:cs="Arial" w:ascii="Arial" w:hAnsi="Arial"/>
                <w:sz w:val="22"/>
                <w:szCs w:val="22"/>
              </w:rPr>
              <w:t>the date and time within which the Performance Security shall  be furnished; and</w:t>
            </w:r>
          </w:p>
          <w:p>
            <w:pPr>
              <w:pStyle w:val="Normal"/>
              <w:widowControl w:val="false"/>
              <w:numPr>
                <w:ilvl w:val="1"/>
                <w:numId w:val="7"/>
              </w:numPr>
              <w:tabs>
                <w:tab w:val="clear" w:pos="720"/>
              </w:tabs>
              <w:spacing w:before="120" w:after="80"/>
              <w:ind w:left="1109" w:hanging="274"/>
              <w:jc w:val="both"/>
              <w:rPr>
                <w:sz w:val="22"/>
                <w:szCs w:val="22"/>
                <w:lang w:val="en-GB"/>
              </w:rPr>
            </w:pPr>
            <w:r>
              <w:rPr>
                <w:rFonts w:cs="Arial" w:ascii="Arial" w:hAnsi="Arial"/>
                <w:sz w:val="22"/>
                <w:szCs w:val="22"/>
              </w:rPr>
              <w:t>the date and time within which the contract shall  be signed.</w:t>
            </w:r>
          </w:p>
        </w:tc>
      </w:tr>
      <w:tr>
        <w:trPr/>
        <w:tc>
          <w:tcPr>
            <w:tcW w:w="2403" w:type="dxa"/>
            <w:gridSpan w:val="3"/>
            <w:vMerge w:val="continue"/>
            <w:tcBorders/>
            <w:shd w:color="auto" w:fill="auto" w:val="clear"/>
          </w:tcPr>
          <w:p>
            <w:pPr>
              <w:pStyle w:val="Heading4"/>
              <w:widowControl w:val="false"/>
              <w:spacing w:before="120" w:after="0"/>
              <w:rPr>
                <w:rFonts w:ascii="Arial" w:hAnsi="Arial" w:cs="Arial"/>
                <w:sz w:val="21"/>
                <w:szCs w:val="21"/>
                <w:lang w:val="en-GB"/>
              </w:rPr>
            </w:pPr>
            <w:r>
              <w:rPr>
                <w:rFonts w:cs="Arial" w:ascii="Arial" w:hAnsi="Arial"/>
                <w:sz w:val="21"/>
                <w:szCs w:val="21"/>
                <w:lang w:val="en-GB"/>
              </w:rPr>
            </w:r>
          </w:p>
        </w:tc>
        <w:tc>
          <w:tcPr>
            <w:tcW w:w="6839" w:type="dxa"/>
            <w:tcBorders/>
          </w:tcPr>
          <w:p>
            <w:pPr>
              <w:pStyle w:val="SubClauseText"/>
              <w:keepNext w:val="true"/>
              <w:keepLines/>
              <w:widowControl w:val="false"/>
              <w:numPr>
                <w:ilvl w:val="0"/>
                <w:numId w:val="93"/>
              </w:numPr>
              <w:spacing w:before="120" w:after="80"/>
              <w:rPr>
                <w:rFonts w:ascii="Arial" w:hAnsi="Arial" w:cs="Arial"/>
                <w:bCs/>
                <w:sz w:val="22"/>
                <w:szCs w:val="22"/>
              </w:rPr>
            </w:pPr>
            <w:r>
              <w:rPr>
                <w:rFonts w:cs="Arial" w:ascii="Arial" w:hAnsi="Arial"/>
                <w:sz w:val="22"/>
                <w:szCs w:val="22"/>
                <w:lang w:val="en-GB"/>
              </w:rPr>
              <w:t>The NOA shall be accepted in writing by the successful Tenderer within seven (7) working days from the date of its issuance.</w:t>
            </w:r>
          </w:p>
        </w:tc>
      </w:tr>
      <w:tr>
        <w:trPr/>
        <w:tc>
          <w:tcPr>
            <w:tcW w:w="2403" w:type="dxa"/>
            <w:gridSpan w:val="3"/>
            <w:vMerge w:val="continue"/>
            <w:tcBorders/>
            <w:shd w:color="auto" w:fill="auto" w:val="clear"/>
          </w:tcPr>
          <w:p>
            <w:pPr>
              <w:pStyle w:val="Heading4"/>
              <w:widowControl w:val="false"/>
              <w:spacing w:before="120" w:after="0"/>
              <w:rPr>
                <w:rFonts w:ascii="Arial" w:hAnsi="Arial" w:cs="Arial"/>
                <w:sz w:val="21"/>
                <w:szCs w:val="21"/>
                <w:lang w:val="en-GB"/>
              </w:rPr>
            </w:pPr>
            <w:r>
              <w:rPr>
                <w:rFonts w:cs="Arial" w:ascii="Arial" w:hAnsi="Arial"/>
                <w:sz w:val="21"/>
                <w:szCs w:val="21"/>
                <w:lang w:val="en-GB"/>
              </w:rPr>
            </w:r>
          </w:p>
        </w:tc>
        <w:tc>
          <w:tcPr>
            <w:tcW w:w="6839" w:type="dxa"/>
            <w:tcBorders/>
          </w:tcPr>
          <w:p>
            <w:pPr>
              <w:pStyle w:val="SubClauseText"/>
              <w:keepNext w:val="true"/>
              <w:keepLines/>
              <w:widowControl w:val="false"/>
              <w:numPr>
                <w:ilvl w:val="0"/>
                <w:numId w:val="93"/>
              </w:numPr>
              <w:spacing w:before="120" w:after="80"/>
              <w:rPr>
                <w:rFonts w:ascii="Arial" w:hAnsi="Arial" w:cs="Arial"/>
                <w:sz w:val="22"/>
                <w:szCs w:val="22"/>
                <w:lang w:val="en-GB"/>
              </w:rPr>
            </w:pPr>
            <w:r>
              <w:rPr>
                <w:rFonts w:cs="Arial" w:ascii="Arial" w:hAnsi="Arial"/>
                <w:bCs/>
                <w:sz w:val="22"/>
                <w:szCs w:val="22"/>
              </w:rPr>
              <w:t xml:space="preserve">In the event, the Tenders </w:t>
            </w:r>
            <w:r>
              <w:rPr>
                <w:rFonts w:cs="Arial" w:ascii="Arial" w:hAnsi="Arial"/>
                <w:sz w:val="22"/>
                <w:szCs w:val="22"/>
              </w:rPr>
              <w:t>were invited for one (1) or more items on an “item-by-item” basis, contract(s) will comprise the corresponding item(s)awarded to the successful Tenderer(s) and, Contract(s) will be signed per each of the successful Tenderer(s),covering the corresponding item(s).</w:t>
            </w:r>
          </w:p>
        </w:tc>
      </w:tr>
      <w:tr>
        <w:trPr/>
        <w:tc>
          <w:tcPr>
            <w:tcW w:w="2403" w:type="dxa"/>
            <w:gridSpan w:val="3"/>
            <w:vMerge w:val="continue"/>
            <w:tcBorders/>
            <w:shd w:color="auto" w:fill="auto" w:val="clear"/>
          </w:tcPr>
          <w:p>
            <w:pPr>
              <w:pStyle w:val="Heading4"/>
              <w:widowControl w:val="false"/>
              <w:spacing w:before="120" w:after="0"/>
              <w:rPr>
                <w:rFonts w:ascii="Arial" w:hAnsi="Arial" w:cs="Arial"/>
                <w:sz w:val="21"/>
                <w:szCs w:val="21"/>
                <w:lang w:val="en-GB"/>
              </w:rPr>
            </w:pPr>
            <w:r>
              <w:rPr>
                <w:rFonts w:cs="Arial" w:ascii="Arial" w:hAnsi="Arial"/>
                <w:sz w:val="21"/>
                <w:szCs w:val="21"/>
                <w:lang w:val="en-GB"/>
              </w:rPr>
            </w:r>
          </w:p>
        </w:tc>
        <w:tc>
          <w:tcPr>
            <w:tcW w:w="6839" w:type="dxa"/>
            <w:tcBorders/>
          </w:tcPr>
          <w:p>
            <w:pPr>
              <w:pStyle w:val="SubClauseText"/>
              <w:keepNext w:val="true"/>
              <w:keepLines/>
              <w:widowControl w:val="false"/>
              <w:numPr>
                <w:ilvl w:val="0"/>
                <w:numId w:val="93"/>
              </w:numPr>
              <w:spacing w:before="120" w:after="80"/>
              <w:rPr>
                <w:rFonts w:ascii="Arial" w:hAnsi="Arial" w:cs="Arial"/>
                <w:bCs/>
                <w:sz w:val="22"/>
                <w:szCs w:val="22"/>
              </w:rPr>
            </w:pPr>
            <w:r>
              <w:rPr>
                <w:rFonts w:cs="Arial" w:ascii="Arial" w:hAnsi="Arial"/>
                <w:bCs/>
                <w:sz w:val="22"/>
                <w:szCs w:val="22"/>
              </w:rPr>
              <w:t>In the event, the Tenders were invited for a single lot , contract will comprise the corresponding items in the lot awarded to the successful Tenderer and, Contract will be signed with the successful Tenderer of the lot, covering the item(s).</w:t>
            </w:r>
          </w:p>
        </w:tc>
      </w:tr>
      <w:tr>
        <w:trPr/>
        <w:tc>
          <w:tcPr>
            <w:tcW w:w="2403" w:type="dxa"/>
            <w:gridSpan w:val="3"/>
            <w:vMerge w:val="continue"/>
            <w:tcBorders/>
            <w:shd w:color="auto" w:fill="auto" w:val="clear"/>
          </w:tcPr>
          <w:p>
            <w:pPr>
              <w:pStyle w:val="Heading4"/>
              <w:widowControl w:val="false"/>
              <w:spacing w:before="120" w:after="0"/>
              <w:rPr>
                <w:rFonts w:ascii="Arial" w:hAnsi="Arial" w:cs="Arial"/>
                <w:sz w:val="21"/>
                <w:szCs w:val="21"/>
                <w:lang w:val="en-GB"/>
              </w:rPr>
            </w:pPr>
            <w:r>
              <w:rPr>
                <w:rFonts w:cs="Arial" w:ascii="Arial" w:hAnsi="Arial"/>
                <w:sz w:val="21"/>
                <w:szCs w:val="21"/>
                <w:lang w:val="en-GB"/>
              </w:rPr>
            </w:r>
          </w:p>
        </w:tc>
        <w:tc>
          <w:tcPr>
            <w:tcW w:w="6839" w:type="dxa"/>
            <w:tcBorders/>
          </w:tcPr>
          <w:p>
            <w:pPr>
              <w:pStyle w:val="SubClauseText"/>
              <w:keepNext w:val="true"/>
              <w:keepLines/>
              <w:widowControl w:val="false"/>
              <w:numPr>
                <w:ilvl w:val="0"/>
                <w:numId w:val="93"/>
              </w:numPr>
              <w:spacing w:before="120" w:after="80"/>
              <w:rPr>
                <w:rFonts w:ascii="Arial" w:hAnsi="Arial" w:cs="Arial"/>
                <w:bCs/>
                <w:sz w:val="22"/>
                <w:szCs w:val="22"/>
              </w:rPr>
            </w:pPr>
            <w:r>
              <w:rPr>
                <w:rFonts w:cs="Arial" w:ascii="Arial" w:hAnsi="Arial"/>
                <w:bCs/>
                <w:sz w:val="22"/>
                <w:szCs w:val="22"/>
              </w:rPr>
              <w:t>In the event, the Tenders were invited for a number of lots on a “lot-by-lot” basis, contracts will comprise the corresponding items in a lot awarded to the successful Tenderer(s) and, Contract(s) will be signed per each of the successful Tenderer(s) per lot, covering the corresponding item(s).</w:t>
            </w:r>
          </w:p>
        </w:tc>
      </w:tr>
      <w:tr>
        <w:trPr/>
        <w:tc>
          <w:tcPr>
            <w:tcW w:w="2403" w:type="dxa"/>
            <w:gridSpan w:val="3"/>
            <w:vMerge w:val="continue"/>
            <w:tcBorders/>
            <w:shd w:color="auto" w:fill="auto" w:val="clear"/>
          </w:tcPr>
          <w:p>
            <w:pPr>
              <w:pStyle w:val="Heading4"/>
              <w:widowControl w:val="false"/>
              <w:spacing w:before="120" w:after="0"/>
              <w:rPr>
                <w:rFonts w:ascii="Arial" w:hAnsi="Arial" w:cs="Arial"/>
                <w:sz w:val="21"/>
                <w:szCs w:val="21"/>
                <w:lang w:val="en-GB"/>
              </w:rPr>
            </w:pPr>
            <w:r>
              <w:rPr>
                <w:rFonts w:cs="Arial" w:ascii="Arial" w:hAnsi="Arial"/>
                <w:sz w:val="21"/>
                <w:szCs w:val="21"/>
                <w:lang w:val="en-GB"/>
              </w:rPr>
            </w:r>
          </w:p>
        </w:tc>
        <w:tc>
          <w:tcPr>
            <w:tcW w:w="6839" w:type="dxa"/>
            <w:tcBorders/>
          </w:tcPr>
          <w:p>
            <w:pPr>
              <w:pStyle w:val="SubClauseText"/>
              <w:keepNext w:val="true"/>
              <w:keepLines/>
              <w:widowControl w:val="false"/>
              <w:numPr>
                <w:ilvl w:val="0"/>
                <w:numId w:val="93"/>
              </w:numPr>
              <w:spacing w:before="120" w:after="80"/>
              <w:rPr>
                <w:rFonts w:ascii="Arial" w:hAnsi="Arial" w:cs="Arial"/>
                <w:sz w:val="22"/>
                <w:szCs w:val="22"/>
              </w:rPr>
            </w:pPr>
            <w:r>
              <w:rPr>
                <w:rFonts w:eastAsia="SimSun" w:cs="Arial" w:ascii="Arial" w:hAnsi="Arial"/>
                <w:spacing w:val="0"/>
                <w:sz w:val="22"/>
                <w:szCs w:val="22"/>
                <w:lang w:val="en-GB" w:eastAsia="zh-CN"/>
              </w:rPr>
              <w:t>Until a formal contract is signed, the NOA shall constitute a Contract, which shall become binding upon the furnishing of a Performance Security and the signing of the Contract by both parties.</w:t>
            </w:r>
          </w:p>
        </w:tc>
      </w:tr>
      <w:tr>
        <w:trPr/>
        <w:tc>
          <w:tcPr>
            <w:tcW w:w="2403" w:type="dxa"/>
            <w:gridSpan w:val="3"/>
            <w:vMerge w:val="restart"/>
            <w:tcBorders/>
            <w:shd w:color="auto" w:fill="auto" w:val="clear"/>
          </w:tcPr>
          <w:p>
            <w:pPr>
              <w:pStyle w:val="Normal"/>
              <w:widowControl w:val="false"/>
              <w:numPr>
                <w:ilvl w:val="0"/>
                <w:numId w:val="31"/>
              </w:numPr>
              <w:spacing w:before="120" w:after="0"/>
              <w:ind w:left="360" w:hanging="346"/>
              <w:outlineLvl w:val="2"/>
              <w:rPr>
                <w:rStyle w:val="Heading3Char"/>
                <w:rFonts w:ascii="Arial" w:hAnsi="Arial"/>
                <w:b/>
                <w:b/>
                <w:sz w:val="22"/>
                <w:szCs w:val="22"/>
              </w:rPr>
            </w:pPr>
            <w:bookmarkStart w:id="404" w:name="_Toc421454258"/>
            <w:r>
              <w:rPr>
                <w:rStyle w:val="Heading3Char"/>
                <w:rFonts w:ascii="Arial" w:hAnsi="Arial"/>
                <w:b/>
                <w:sz w:val="22"/>
                <w:szCs w:val="22"/>
              </w:rPr>
              <w:t>Performance Security</w:t>
            </w:r>
            <w:bookmarkEnd w:id="404"/>
          </w:p>
        </w:tc>
        <w:tc>
          <w:tcPr>
            <w:tcW w:w="6839" w:type="dxa"/>
            <w:tcBorders/>
          </w:tcPr>
          <w:p>
            <w:pPr>
              <w:pStyle w:val="SubClauseText"/>
              <w:widowControl w:val="false"/>
              <w:numPr>
                <w:ilvl w:val="0"/>
                <w:numId w:val="105"/>
              </w:numPr>
              <w:tabs>
                <w:tab w:val="clear" w:pos="720"/>
                <w:tab w:val="left" w:pos="612" w:leader="none"/>
              </w:tabs>
              <w:spacing w:before="120" w:after="120"/>
              <w:ind w:left="612" w:hanging="720"/>
              <w:rPr>
                <w:rFonts w:ascii="Arial" w:hAnsi="Arial" w:cs="Arial"/>
                <w:sz w:val="22"/>
                <w:szCs w:val="22"/>
                <w:lang w:val="en-GB"/>
              </w:rPr>
            </w:pPr>
            <w:r>
              <w:rPr>
                <w:rFonts w:cs="Arial" w:ascii="Arial" w:hAnsi="Arial"/>
                <w:sz w:val="22"/>
                <w:szCs w:val="22"/>
                <w:lang w:val="en-GB"/>
              </w:rPr>
              <w:t xml:space="preserve">Performance Security shall be provided by the successful Tenderer in BDT currency, of the amount as specified in the </w:t>
            </w:r>
            <w:r>
              <w:rPr>
                <w:rFonts w:cs="Arial" w:ascii="Arial" w:hAnsi="Arial"/>
                <w:b/>
                <w:sz w:val="22"/>
                <w:szCs w:val="22"/>
                <w:lang w:val="en-GB"/>
              </w:rPr>
              <w:t>TDS.</w:t>
            </w:r>
          </w:p>
        </w:tc>
      </w:tr>
      <w:tr>
        <w:trPr/>
        <w:tc>
          <w:tcPr>
            <w:tcW w:w="2403" w:type="dxa"/>
            <w:gridSpan w:val="3"/>
            <w:vMerge w:val="continue"/>
            <w:tcBorders/>
            <w:shd w:color="auto" w:fill="auto" w:val="clear"/>
          </w:tcPr>
          <w:p>
            <w:pPr>
              <w:pStyle w:val="Heading4"/>
              <w:widowControl w:val="false"/>
              <w:spacing w:before="120" w:after="0"/>
              <w:rPr>
                <w:rFonts w:ascii="Arial" w:hAnsi="Arial" w:cs="Arial"/>
                <w:sz w:val="21"/>
                <w:szCs w:val="21"/>
                <w:lang w:val="en-GB"/>
              </w:rPr>
            </w:pPr>
            <w:r>
              <w:rPr>
                <w:rFonts w:cs="Arial" w:ascii="Arial" w:hAnsi="Arial"/>
                <w:sz w:val="21"/>
                <w:szCs w:val="21"/>
                <w:lang w:val="en-GB"/>
              </w:rPr>
            </w:r>
          </w:p>
        </w:tc>
        <w:tc>
          <w:tcPr>
            <w:tcW w:w="6839" w:type="dxa"/>
            <w:tcBorders/>
          </w:tcPr>
          <w:p>
            <w:pPr>
              <w:pStyle w:val="SubClauseText"/>
              <w:widowControl w:val="false"/>
              <w:numPr>
                <w:ilvl w:val="0"/>
                <w:numId w:val="105"/>
              </w:numPr>
              <w:tabs>
                <w:tab w:val="clear" w:pos="720"/>
                <w:tab w:val="left" w:pos="612" w:leader="none"/>
                <w:tab w:val="left" w:pos="648" w:leader="none"/>
              </w:tabs>
              <w:spacing w:before="120" w:after="120"/>
              <w:ind w:left="612" w:hanging="720"/>
              <w:rPr>
                <w:rFonts w:ascii="Arial" w:hAnsi="Arial" w:cs="Arial"/>
                <w:sz w:val="22"/>
                <w:szCs w:val="22"/>
                <w:lang w:val="en-GB"/>
              </w:rPr>
            </w:pPr>
            <w:r>
              <w:rPr>
                <w:rFonts w:cs="Arial" w:ascii="Arial" w:hAnsi="Arial"/>
                <w:sz w:val="22"/>
                <w:szCs w:val="22"/>
                <w:lang w:val="en-GB"/>
              </w:rPr>
              <w:t>The proceeds of the Performance Security shall be payable to the Procuring Entity unconditionally upon first written demand as compensation for Supplier’s failure to complete its obligations under the Contract.</w:t>
            </w:r>
          </w:p>
        </w:tc>
      </w:tr>
      <w:tr>
        <w:trPr/>
        <w:tc>
          <w:tcPr>
            <w:tcW w:w="2403" w:type="dxa"/>
            <w:gridSpan w:val="3"/>
            <w:tcBorders/>
            <w:shd w:color="auto" w:fill="auto" w:val="clear"/>
          </w:tcPr>
          <w:p>
            <w:pPr>
              <w:pStyle w:val="Heading4"/>
              <w:widowControl w:val="false"/>
              <w:spacing w:before="120" w:after="0"/>
              <w:rPr>
                <w:rFonts w:ascii="Arial" w:hAnsi="Arial" w:cs="Arial"/>
                <w:sz w:val="21"/>
                <w:szCs w:val="21"/>
                <w:lang w:val="en-GB"/>
              </w:rPr>
            </w:pPr>
            <w:r>
              <w:rPr>
                <w:rFonts w:cs="Arial" w:ascii="Arial" w:hAnsi="Arial"/>
                <w:sz w:val="21"/>
                <w:szCs w:val="21"/>
                <w:lang w:val="en-GB"/>
              </w:rPr>
            </w:r>
          </w:p>
        </w:tc>
        <w:tc>
          <w:tcPr>
            <w:tcW w:w="6839" w:type="dxa"/>
            <w:tcBorders/>
          </w:tcPr>
          <w:p>
            <w:pPr>
              <w:pStyle w:val="SubClauseText"/>
              <w:widowControl w:val="false"/>
              <w:numPr>
                <w:ilvl w:val="0"/>
                <w:numId w:val="105"/>
              </w:numPr>
              <w:tabs>
                <w:tab w:val="clear" w:pos="720"/>
                <w:tab w:val="left" w:pos="612" w:leader="none"/>
                <w:tab w:val="left" w:pos="648" w:leader="none"/>
              </w:tabs>
              <w:spacing w:before="120" w:after="120"/>
              <w:ind w:left="612" w:hanging="720"/>
              <w:rPr>
                <w:rFonts w:ascii="Arial" w:hAnsi="Arial" w:cs="Arial"/>
                <w:sz w:val="22"/>
                <w:szCs w:val="22"/>
                <w:lang w:val="en-GB"/>
              </w:rPr>
            </w:pPr>
            <w:r>
              <w:rPr>
                <w:rFonts w:cs="Arial" w:ascii="Arial" w:hAnsi="Arial"/>
                <w:sz w:val="22"/>
                <w:szCs w:val="22"/>
                <w:lang w:val="en-GB"/>
              </w:rPr>
              <w:t xml:space="preserve">In the event a Government owned enterprise as stated under ITT Sub Clause 5.10 is the successful Tenderer, there shall be Security Deposit as specified in the </w:t>
            </w:r>
            <w:r>
              <w:rPr>
                <w:rFonts w:cs="Arial" w:ascii="Arial" w:hAnsi="Arial"/>
                <w:b/>
                <w:sz w:val="22"/>
                <w:szCs w:val="22"/>
                <w:lang w:val="en-GB"/>
              </w:rPr>
              <w:t>TDS</w:t>
            </w:r>
            <w:r>
              <w:rPr>
                <w:rFonts w:cs="Arial" w:ascii="Arial" w:hAnsi="Arial"/>
                <w:sz w:val="22"/>
                <w:szCs w:val="22"/>
                <w:lang w:val="en-GB"/>
              </w:rPr>
              <w:t>, in lieu of the Performance Security, as stated under ITT Sub Clause 62.1.</w:t>
            </w:r>
          </w:p>
        </w:tc>
      </w:tr>
      <w:tr>
        <w:trPr>
          <w:trHeight w:val="1080" w:hRule="atLeast"/>
        </w:trPr>
        <w:tc>
          <w:tcPr>
            <w:tcW w:w="2403" w:type="dxa"/>
            <w:gridSpan w:val="3"/>
            <w:tcBorders/>
            <w:shd w:color="auto" w:fill="auto" w:val="clear"/>
          </w:tcPr>
          <w:p>
            <w:pPr>
              <w:pStyle w:val="Normal"/>
              <w:widowControl w:val="false"/>
              <w:numPr>
                <w:ilvl w:val="0"/>
                <w:numId w:val="31"/>
              </w:numPr>
              <w:spacing w:before="120" w:after="0"/>
              <w:ind w:left="360" w:hanging="346"/>
              <w:outlineLvl w:val="2"/>
              <w:rPr>
                <w:rStyle w:val="Heading3Char"/>
                <w:rFonts w:ascii="Arial" w:hAnsi="Arial"/>
                <w:b/>
                <w:b/>
                <w:sz w:val="22"/>
                <w:szCs w:val="22"/>
              </w:rPr>
            </w:pPr>
            <w:bookmarkStart w:id="405" w:name="_Toc421454259"/>
            <w:r>
              <w:rPr>
                <w:rStyle w:val="Heading3Char"/>
                <w:rFonts w:ascii="Arial" w:hAnsi="Arial"/>
                <w:b/>
                <w:sz w:val="22"/>
                <w:szCs w:val="22"/>
              </w:rPr>
              <w:t>Form and Time Limit for Furnishing of Performance Security</w:t>
            </w:r>
            <w:bookmarkEnd w:id="405"/>
          </w:p>
        </w:tc>
        <w:tc>
          <w:tcPr>
            <w:tcW w:w="6839" w:type="dxa"/>
            <w:tcBorders/>
          </w:tcPr>
          <w:p>
            <w:pPr>
              <w:pStyle w:val="Normal"/>
              <w:widowControl w:val="false"/>
              <w:numPr>
                <w:ilvl w:val="0"/>
                <w:numId w:val="94"/>
              </w:numPr>
              <w:tabs>
                <w:tab w:val="clear" w:pos="720"/>
                <w:tab w:val="left" w:pos="612" w:leader="none"/>
              </w:tabs>
              <w:spacing w:before="120" w:after="120"/>
              <w:ind w:left="612" w:hanging="720"/>
              <w:jc w:val="both"/>
              <w:rPr>
                <w:rFonts w:ascii="Arial" w:hAnsi="Arial" w:cs="Arial"/>
                <w:sz w:val="22"/>
                <w:szCs w:val="22"/>
              </w:rPr>
            </w:pPr>
            <w:r>
              <w:rPr>
                <w:rFonts w:cs="Arial" w:ascii="Arial" w:hAnsi="Arial"/>
                <w:bCs/>
                <w:sz w:val="22"/>
                <w:szCs w:val="22"/>
              </w:rPr>
              <w:t>The Performance Security</w:t>
            </w:r>
            <w:r>
              <w:fldChar w:fldCharType="begin"/>
            </w:r>
            <w:r>
              <w:rPr>
                <w:sz w:val="22"/>
                <w:szCs w:val="22"/>
                <w:bCs/>
                <w:rFonts w:cs="Arial" w:ascii="Arial" w:hAnsi="Arial"/>
              </w:rPr>
              <w:instrText> XE "Performance Security: : " </w:instrText>
            </w:r>
            <w:r>
              <w:rPr>
                <w:sz w:val="22"/>
                <w:szCs w:val="22"/>
                <w:bCs/>
                <w:rFonts w:cs="Arial" w:ascii="Arial" w:hAnsi="Arial"/>
              </w:rPr>
              <w:fldChar w:fldCharType="separate"/>
            </w:r>
            <w:r>
              <w:rPr>
                <w:rFonts w:cs="Arial" w:ascii="Arial" w:hAnsi="Arial"/>
                <w:bCs/>
                <w:sz w:val="22"/>
                <w:szCs w:val="22"/>
              </w:rPr>
            </w:r>
            <w:r>
              <w:rPr>
                <w:sz w:val="22"/>
                <w:szCs w:val="22"/>
                <w:bCs/>
                <w:rFonts w:cs="Arial" w:ascii="Arial" w:hAnsi="Arial"/>
              </w:rPr>
              <w:fldChar w:fldCharType="end"/>
            </w:r>
            <w:r>
              <w:rPr>
                <w:rFonts w:cs="Arial" w:ascii="Arial" w:hAnsi="Arial"/>
                <w:bCs/>
                <w:sz w:val="22"/>
                <w:szCs w:val="22"/>
              </w:rPr>
              <w:t xml:space="preserve"> shall be in the form of a Bank Draft, Pay Order or an </w:t>
            </w:r>
            <w:r>
              <w:rPr>
                <w:rFonts w:cs="Arial" w:ascii="Arial" w:hAnsi="Arial"/>
                <w:sz w:val="22"/>
                <w:szCs w:val="22"/>
              </w:rPr>
              <w:t xml:space="preserve">irrevocable unconditional </w:t>
            </w:r>
            <w:r>
              <w:rPr>
                <w:rFonts w:cs="Arial" w:ascii="Arial" w:hAnsi="Arial"/>
                <w:bCs/>
                <w:sz w:val="22"/>
                <w:szCs w:val="22"/>
              </w:rPr>
              <w:t xml:space="preserve">Bank Guarantee in the format </w:t>
            </w:r>
            <w:r>
              <w:rPr>
                <w:rFonts w:cs="Arial" w:ascii="Arial" w:hAnsi="Arial"/>
                <w:b/>
                <w:sz w:val="22"/>
                <w:szCs w:val="22"/>
                <w:lang w:val="en-GB"/>
              </w:rPr>
              <w:t xml:space="preserve">(Form PG3-11), </w:t>
            </w:r>
            <w:r>
              <w:rPr>
                <w:rFonts w:cs="Arial" w:ascii="Arial" w:hAnsi="Arial"/>
                <w:sz w:val="22"/>
                <w:szCs w:val="22"/>
                <w:lang w:val="en-GB"/>
              </w:rPr>
              <w:t>without any alteration</w:t>
            </w:r>
            <w:r>
              <w:rPr>
                <w:rFonts w:cs="Arial" w:ascii="Arial" w:hAnsi="Arial"/>
                <w:bCs/>
                <w:sz w:val="22"/>
                <w:szCs w:val="22"/>
              </w:rPr>
              <w:t xml:space="preserve">, issued </w:t>
            </w:r>
            <w:r>
              <w:rPr>
                <w:rFonts w:cs="Arial" w:ascii="Arial" w:hAnsi="Arial"/>
                <w:sz w:val="22"/>
                <w:szCs w:val="22"/>
              </w:rPr>
              <w:t>by any scheduled Bank of Bangladesh acceptable to the Procuring Entity.</w:t>
            </w:r>
          </w:p>
        </w:tc>
      </w:tr>
      <w:tr>
        <w:trPr>
          <w:trHeight w:val="1287" w:hRule="atLeast"/>
        </w:trPr>
        <w:tc>
          <w:tcPr>
            <w:tcW w:w="2403" w:type="dxa"/>
            <w:gridSpan w:val="3"/>
            <w:tcBorders/>
            <w:shd w:color="auto" w:fill="auto" w:val="clear"/>
          </w:tcPr>
          <w:p>
            <w:pPr>
              <w:pStyle w:val="Normal"/>
              <w:widowControl w:val="false"/>
              <w:numPr>
                <w:ilvl w:val="0"/>
                <w:numId w:val="0"/>
              </w:numPr>
              <w:spacing w:before="120" w:after="0"/>
              <w:ind w:left="9" w:hanging="0"/>
              <w:outlineLvl w:val="2"/>
              <w:rPr>
                <w:rStyle w:val="Heading3Char"/>
                <w:rFonts w:ascii="Arial" w:hAnsi="Arial"/>
                <w:sz w:val="21"/>
                <w:szCs w:val="21"/>
              </w:rPr>
            </w:pPr>
            <w:r>
              <w:rPr>
                <w:rFonts w:ascii="Arial" w:hAnsi="Arial"/>
                <w:sz w:val="21"/>
                <w:szCs w:val="21"/>
              </w:rPr>
            </w:r>
          </w:p>
        </w:tc>
        <w:tc>
          <w:tcPr>
            <w:tcW w:w="6839" w:type="dxa"/>
            <w:tcBorders/>
          </w:tcPr>
          <w:p>
            <w:pPr>
              <w:pStyle w:val="Normal"/>
              <w:widowControl w:val="false"/>
              <w:numPr>
                <w:ilvl w:val="0"/>
                <w:numId w:val="94"/>
              </w:numPr>
              <w:tabs>
                <w:tab w:val="clear" w:pos="720"/>
                <w:tab w:val="left" w:pos="612" w:leader="none"/>
              </w:tabs>
              <w:spacing w:before="120" w:after="120"/>
              <w:ind w:left="612" w:hanging="720"/>
              <w:jc w:val="both"/>
              <w:rPr>
                <w:rFonts w:ascii="Arial" w:hAnsi="Arial" w:cs="Arial"/>
                <w:bCs/>
                <w:sz w:val="22"/>
                <w:szCs w:val="22"/>
              </w:rPr>
            </w:pPr>
            <w:r>
              <w:rPr>
                <w:rFonts w:cs="Arial" w:ascii="Arial" w:hAnsi="Arial"/>
                <w:sz w:val="22"/>
                <w:szCs w:val="22"/>
                <w:lang w:val="en-GB"/>
              </w:rPr>
              <w:t>Within fourteen (14) days from the date of receipt of the NOA but not later than the date specified therein, the successful Tenderer shall furnish the Performance Security for the due performance of the Contract in the amount specified under ITT Sub Clause 62.1.</w:t>
            </w:r>
          </w:p>
        </w:tc>
      </w:tr>
      <w:tr>
        <w:trPr/>
        <w:tc>
          <w:tcPr>
            <w:tcW w:w="2403" w:type="dxa"/>
            <w:gridSpan w:val="3"/>
            <w:tcBorders/>
            <w:shd w:color="auto" w:fill="auto" w:val="clear"/>
          </w:tcPr>
          <w:p>
            <w:pPr>
              <w:pStyle w:val="Normal"/>
              <w:widowControl w:val="false"/>
              <w:numPr>
                <w:ilvl w:val="0"/>
                <w:numId w:val="31"/>
              </w:numPr>
              <w:spacing w:before="120" w:after="0"/>
              <w:ind w:left="360" w:hanging="346"/>
              <w:outlineLvl w:val="2"/>
              <w:rPr>
                <w:rStyle w:val="Heading3Char"/>
                <w:rFonts w:ascii="Arial" w:hAnsi="Arial"/>
                <w:b/>
                <w:b/>
                <w:sz w:val="22"/>
                <w:szCs w:val="22"/>
              </w:rPr>
            </w:pPr>
            <w:bookmarkStart w:id="406" w:name="_Toc421454260"/>
            <w:r>
              <w:rPr>
                <w:rStyle w:val="Heading3Char"/>
                <w:rFonts w:ascii="Arial" w:hAnsi="Arial"/>
                <w:b/>
                <w:sz w:val="22"/>
                <w:szCs w:val="22"/>
              </w:rPr>
              <w:t>Validity of Performance Security</w:t>
            </w:r>
            <w:bookmarkEnd w:id="406"/>
          </w:p>
        </w:tc>
        <w:tc>
          <w:tcPr>
            <w:tcW w:w="6839" w:type="dxa"/>
            <w:tcBorders/>
          </w:tcPr>
          <w:p>
            <w:pPr>
              <w:pStyle w:val="Normal"/>
              <w:widowControl w:val="false"/>
              <w:numPr>
                <w:ilvl w:val="0"/>
                <w:numId w:val="106"/>
              </w:numPr>
              <w:tabs>
                <w:tab w:val="clear" w:pos="720"/>
                <w:tab w:val="left" w:pos="612" w:leader="none"/>
              </w:tabs>
              <w:spacing w:before="120" w:after="120"/>
              <w:ind w:left="612" w:hanging="720"/>
              <w:jc w:val="both"/>
              <w:rPr>
                <w:rFonts w:ascii="Arial" w:hAnsi="Arial" w:cs="Arial"/>
                <w:sz w:val="22"/>
                <w:szCs w:val="22"/>
              </w:rPr>
            </w:pPr>
            <w:r>
              <w:rPr>
                <w:rFonts w:cs="Arial" w:ascii="Arial" w:hAnsi="Arial"/>
                <w:sz w:val="22"/>
                <w:szCs w:val="22"/>
                <w:lang w:val="en-GB"/>
              </w:rPr>
              <w:t>The Performance Security shall be required to be valid until a date twenty-eight (28) days beyond the date of completion of the Supplier’s performance obligations under the Contract, including any warranty obligations.</w:t>
            </w:r>
          </w:p>
        </w:tc>
      </w:tr>
      <w:tr>
        <w:trPr/>
        <w:tc>
          <w:tcPr>
            <w:tcW w:w="2403" w:type="dxa"/>
            <w:gridSpan w:val="3"/>
            <w:tcBorders/>
            <w:shd w:color="auto" w:fill="auto" w:val="clear"/>
          </w:tcPr>
          <w:p>
            <w:pPr>
              <w:pStyle w:val="Normal"/>
              <w:widowControl w:val="false"/>
              <w:numPr>
                <w:ilvl w:val="0"/>
                <w:numId w:val="31"/>
              </w:numPr>
              <w:spacing w:before="120" w:after="0"/>
              <w:ind w:left="360" w:hanging="346"/>
              <w:outlineLvl w:val="2"/>
              <w:rPr>
                <w:rStyle w:val="Heading3Char"/>
                <w:rFonts w:ascii="Arial" w:hAnsi="Arial"/>
                <w:b/>
                <w:b/>
                <w:sz w:val="22"/>
                <w:szCs w:val="22"/>
              </w:rPr>
            </w:pPr>
            <w:bookmarkStart w:id="407" w:name="_Toc421454261"/>
            <w:r>
              <w:rPr>
                <w:rStyle w:val="Heading3Char"/>
                <w:rFonts w:ascii="Arial" w:hAnsi="Arial"/>
                <w:b/>
                <w:sz w:val="22"/>
                <w:szCs w:val="22"/>
              </w:rPr>
              <w:t>Authenticity of Performance Security</w:t>
            </w:r>
            <w:bookmarkEnd w:id="407"/>
          </w:p>
        </w:tc>
        <w:tc>
          <w:tcPr>
            <w:tcW w:w="6839" w:type="dxa"/>
            <w:tcBorders/>
          </w:tcPr>
          <w:p>
            <w:pPr>
              <w:pStyle w:val="Normal"/>
              <w:widowControl w:val="false"/>
              <w:numPr>
                <w:ilvl w:val="0"/>
                <w:numId w:val="44"/>
              </w:numPr>
              <w:tabs>
                <w:tab w:val="clear" w:pos="720"/>
                <w:tab w:val="left" w:pos="612" w:leader="none"/>
              </w:tabs>
              <w:spacing w:before="120" w:after="120"/>
              <w:ind w:left="612" w:hanging="720"/>
              <w:jc w:val="both"/>
              <w:rPr>
                <w:rFonts w:ascii="Arial" w:hAnsi="Arial" w:cs="Arial"/>
                <w:sz w:val="22"/>
                <w:szCs w:val="22"/>
              </w:rPr>
            </w:pPr>
            <w:r>
              <w:rPr>
                <w:rFonts w:cs="Arial" w:ascii="Arial" w:hAnsi="Arial"/>
                <w:sz w:val="22"/>
                <w:szCs w:val="22"/>
                <w:lang w:val="en-GB"/>
              </w:rPr>
              <w:t>The Procuring Entity shall verify the authenticity of the Performance Security submitted by the successful Tenderer by sending a written request to the branch of the Bank issuing the Pay Order, Bank Draft or irrevocable unconditional Bank Guarantee in specified format</w:t>
            </w:r>
            <w:r>
              <w:rPr>
                <w:rFonts w:cs="Arial" w:ascii="Arial" w:hAnsi="Arial"/>
                <w:sz w:val="22"/>
                <w:szCs w:val="22"/>
              </w:rPr>
              <w:t>.</w:t>
            </w:r>
          </w:p>
        </w:tc>
      </w:tr>
      <w:tr>
        <w:trPr/>
        <w:tc>
          <w:tcPr>
            <w:tcW w:w="2403" w:type="dxa"/>
            <w:gridSpan w:val="3"/>
            <w:tcBorders/>
            <w:shd w:color="auto" w:fill="auto" w:val="clear"/>
          </w:tcPr>
          <w:p>
            <w:pPr>
              <w:pStyle w:val="Normal"/>
              <w:widowControl w:val="false"/>
              <w:numPr>
                <w:ilvl w:val="0"/>
                <w:numId w:val="31"/>
              </w:numPr>
              <w:spacing w:before="120" w:after="0"/>
              <w:ind w:left="360" w:right="72" w:hanging="346"/>
              <w:outlineLvl w:val="2"/>
              <w:rPr>
                <w:rStyle w:val="Heading3Char"/>
                <w:rFonts w:ascii="Arial" w:hAnsi="Arial"/>
                <w:b/>
                <w:b/>
                <w:sz w:val="22"/>
                <w:szCs w:val="22"/>
              </w:rPr>
            </w:pPr>
            <w:bookmarkStart w:id="408" w:name="_Toc421454262"/>
            <w:r>
              <w:rPr>
                <w:rStyle w:val="Heading3Char"/>
                <w:rFonts w:ascii="Arial" w:hAnsi="Arial"/>
                <w:b/>
                <w:sz w:val="22"/>
                <w:szCs w:val="22"/>
              </w:rPr>
              <w:t>Contract Signing</w:t>
            </w:r>
            <w:bookmarkEnd w:id="408"/>
          </w:p>
        </w:tc>
        <w:tc>
          <w:tcPr>
            <w:tcW w:w="6839" w:type="dxa"/>
            <w:tcBorders/>
          </w:tcPr>
          <w:p>
            <w:pPr>
              <w:pStyle w:val="Normal"/>
              <w:widowControl w:val="false"/>
              <w:numPr>
                <w:ilvl w:val="0"/>
                <w:numId w:val="152"/>
              </w:numPr>
              <w:tabs>
                <w:tab w:val="clear" w:pos="720"/>
                <w:tab w:val="left" w:pos="612" w:leader="none"/>
              </w:tabs>
              <w:spacing w:before="120" w:after="120"/>
              <w:ind w:left="612" w:hanging="720"/>
              <w:jc w:val="both"/>
              <w:rPr>
                <w:rFonts w:ascii="Arial" w:hAnsi="Arial" w:cs="Arial"/>
                <w:sz w:val="22"/>
                <w:szCs w:val="22"/>
              </w:rPr>
            </w:pPr>
            <w:r>
              <w:rPr>
                <w:rFonts w:cs="Arial" w:ascii="Arial" w:hAnsi="Arial"/>
                <w:sz w:val="22"/>
                <w:szCs w:val="22"/>
              </w:rPr>
              <w:t>At the same time as the Procuring Entity issues the NOA, the Procuring Entity shall send the draft Contract Agreement and all documents forming the Contract to the successful Tenderer(s).</w:t>
            </w:r>
          </w:p>
          <w:p>
            <w:pPr>
              <w:pStyle w:val="Normal"/>
              <w:widowControl w:val="false"/>
              <w:numPr>
                <w:ilvl w:val="0"/>
                <w:numId w:val="152"/>
              </w:numPr>
              <w:tabs>
                <w:tab w:val="clear" w:pos="720"/>
                <w:tab w:val="left" w:pos="612" w:leader="none"/>
              </w:tabs>
              <w:spacing w:before="120" w:after="120"/>
              <w:ind w:left="612" w:hanging="720"/>
              <w:jc w:val="both"/>
              <w:rPr>
                <w:rFonts w:ascii="Arial" w:hAnsi="Arial" w:cs="Arial"/>
                <w:sz w:val="22"/>
                <w:szCs w:val="22"/>
              </w:rPr>
            </w:pPr>
            <w:r>
              <w:rPr>
                <w:rFonts w:cs="Arial" w:ascii="Arial" w:hAnsi="Arial"/>
                <w:sz w:val="22"/>
                <w:szCs w:val="22"/>
              </w:rPr>
              <w:t xml:space="preserve">Within </w:t>
            </w:r>
            <w:r>
              <w:rPr>
                <w:rFonts w:cs="Arial" w:ascii="Arial" w:hAnsi="Arial"/>
                <w:sz w:val="22"/>
                <w:szCs w:val="22"/>
                <w:lang w:val="en-GB"/>
              </w:rPr>
              <w:t>twenty-eight (28) days of the issuance of NOA,</w:t>
            </w:r>
            <w:r>
              <w:rPr>
                <w:rFonts w:cs="Arial" w:ascii="Arial" w:hAnsi="Arial"/>
                <w:sz w:val="22"/>
                <w:szCs w:val="22"/>
              </w:rPr>
              <w:t xml:space="preserve"> the successful Tenderer(s) and the Procuring Entity shall sign the contract.</w:t>
            </w:r>
            <w:bookmarkStart w:id="409" w:name="_GoBack"/>
            <w:bookmarkEnd w:id="409"/>
          </w:p>
          <w:p>
            <w:pPr>
              <w:pStyle w:val="Normal"/>
              <w:widowControl w:val="false"/>
              <w:numPr>
                <w:ilvl w:val="0"/>
                <w:numId w:val="152"/>
              </w:numPr>
              <w:tabs>
                <w:tab w:val="clear" w:pos="720"/>
                <w:tab w:val="left" w:pos="612" w:leader="none"/>
              </w:tabs>
              <w:spacing w:before="120" w:after="120"/>
              <w:ind w:left="612" w:hanging="720"/>
              <w:jc w:val="both"/>
              <w:rPr>
                <w:rFonts w:ascii="Arial" w:hAnsi="Arial" w:cs="Arial"/>
                <w:sz w:val="22"/>
                <w:szCs w:val="22"/>
              </w:rPr>
            </w:pPr>
            <w:r>
              <w:rPr>
                <w:rFonts w:cs="Arial" w:ascii="Arial" w:hAnsi="Arial"/>
                <w:sz w:val="22"/>
                <w:szCs w:val="22"/>
                <w:lang w:val="en-GB"/>
              </w:rPr>
              <w:t>Failure of the successful Tenderer(s) to furnish the Performance   Security, as stated under ITT Sub Clause 62.1, or sign the Contract, as stated under ITT Sub Clause 66.2, shall constitute sufficient grounds for the annulment of the award and forfeiture of the Tender Security.  In that event the Procuring Entity may award the Contract to the next lowest evaluated responsive Tenderer(s), who is determined by the TEC to be qualified to perform the Contract satisfactorily.</w:t>
            </w:r>
          </w:p>
        </w:tc>
      </w:tr>
      <w:tr>
        <w:trPr/>
        <w:tc>
          <w:tcPr>
            <w:tcW w:w="2403" w:type="dxa"/>
            <w:gridSpan w:val="3"/>
            <w:vMerge w:val="restart"/>
            <w:tcBorders/>
            <w:shd w:color="auto" w:fill="auto" w:val="clear"/>
          </w:tcPr>
          <w:p>
            <w:pPr>
              <w:pStyle w:val="Normal"/>
              <w:widowControl w:val="false"/>
              <w:numPr>
                <w:ilvl w:val="0"/>
                <w:numId w:val="31"/>
              </w:numPr>
              <w:spacing w:before="120" w:after="0"/>
              <w:ind w:left="360" w:hanging="346"/>
              <w:outlineLvl w:val="2"/>
              <w:rPr>
                <w:rStyle w:val="Heading3Char"/>
                <w:rFonts w:ascii="Arial" w:hAnsi="Arial"/>
                <w:b/>
                <w:b/>
                <w:sz w:val="22"/>
                <w:szCs w:val="22"/>
              </w:rPr>
            </w:pPr>
            <w:bookmarkStart w:id="410" w:name="_Toc421454263"/>
            <w:r>
              <w:rPr>
                <w:rStyle w:val="Heading3Char"/>
                <w:rFonts w:ascii="Arial" w:hAnsi="Arial"/>
                <w:b/>
                <w:sz w:val="22"/>
                <w:szCs w:val="22"/>
              </w:rPr>
              <w:t>Publication of Notification of Award of Contract</w:t>
            </w:r>
            <w:bookmarkEnd w:id="410"/>
          </w:p>
        </w:tc>
        <w:tc>
          <w:tcPr>
            <w:tcW w:w="6839" w:type="dxa"/>
            <w:tcBorders/>
          </w:tcPr>
          <w:p>
            <w:pPr>
              <w:pStyle w:val="Normal"/>
              <w:widowControl w:val="false"/>
              <w:numPr>
                <w:ilvl w:val="0"/>
                <w:numId w:val="107"/>
              </w:numPr>
              <w:tabs>
                <w:tab w:val="clear" w:pos="720"/>
              </w:tabs>
              <w:spacing w:before="120" w:after="120"/>
              <w:ind w:left="648" w:hanging="756"/>
              <w:jc w:val="both"/>
              <w:rPr>
                <w:rFonts w:ascii="Arial" w:hAnsi="Arial" w:cs="Arial"/>
                <w:sz w:val="22"/>
                <w:szCs w:val="22"/>
              </w:rPr>
            </w:pPr>
            <w:r>
              <w:rPr>
                <w:rFonts w:cs="Arial" w:ascii="Arial" w:hAnsi="Arial"/>
                <w:sz w:val="22"/>
                <w:szCs w:val="22"/>
              </w:rPr>
              <w:t xml:space="preserve">The NOA for Contract of Taka one crore and above </w:t>
            </w:r>
            <w:r>
              <w:fldChar w:fldCharType="begin"/>
            </w:r>
            <w:r>
              <w:rPr>
                <w:sz w:val="22"/>
                <w:szCs w:val="22"/>
                <w:rFonts w:cs="Arial" w:ascii="Arial" w:hAnsi="Arial"/>
              </w:rPr>
              <w:instrText> XE "threshold value: : " </w:instrText>
            </w:r>
            <w:r>
              <w:rPr>
                <w:sz w:val="22"/>
                <w:szCs w:val="22"/>
                <w:rFonts w:cs="Arial" w:ascii="Arial" w:hAnsi="Arial"/>
              </w:rPr>
              <w:fldChar w:fldCharType="separate"/>
            </w:r>
            <w:r>
              <w:rPr>
                <w:rFonts w:cs="Arial" w:ascii="Arial" w:hAnsi="Arial"/>
                <w:sz w:val="22"/>
                <w:szCs w:val="22"/>
              </w:rPr>
            </w:r>
            <w:r>
              <w:rPr>
                <w:sz w:val="22"/>
                <w:szCs w:val="22"/>
                <w:rFonts w:cs="Arial" w:ascii="Arial" w:hAnsi="Arial"/>
              </w:rPr>
              <w:fldChar w:fldCharType="end"/>
            </w:r>
            <w:r>
              <w:rPr>
                <w:rFonts w:cs="Arial" w:ascii="Arial" w:hAnsi="Arial"/>
                <w:sz w:val="22"/>
                <w:szCs w:val="22"/>
              </w:rPr>
              <w:t xml:space="preserve"> shall be notified by the Procuring Entity to the Central Procurement Technical Unit</w:t>
            </w:r>
            <w:r>
              <w:fldChar w:fldCharType="begin"/>
            </w:r>
            <w:r>
              <w:rPr>
                <w:sz w:val="22"/>
                <w:szCs w:val="22"/>
                <w:rFonts w:cs="Arial" w:ascii="Arial" w:hAnsi="Arial"/>
              </w:rPr>
              <w:instrText> XE "Central Procurement Technical Unit: : " </w:instrText>
            </w:r>
            <w:r>
              <w:rPr>
                <w:sz w:val="22"/>
                <w:szCs w:val="22"/>
                <w:rFonts w:cs="Arial" w:ascii="Arial" w:hAnsi="Arial"/>
              </w:rPr>
              <w:fldChar w:fldCharType="separate"/>
            </w:r>
            <w:r>
              <w:rPr>
                <w:rFonts w:cs="Arial" w:ascii="Arial" w:hAnsi="Arial"/>
                <w:sz w:val="22"/>
                <w:szCs w:val="22"/>
              </w:rPr>
            </w:r>
            <w:r>
              <w:rPr>
                <w:sz w:val="22"/>
                <w:szCs w:val="22"/>
                <w:rFonts w:cs="Arial" w:ascii="Arial" w:hAnsi="Arial"/>
              </w:rPr>
              <w:fldChar w:fldCharType="end"/>
            </w:r>
            <w:r>
              <w:rPr>
                <w:rFonts w:cs="Arial" w:ascii="Arial" w:hAnsi="Arial"/>
                <w:sz w:val="22"/>
                <w:szCs w:val="22"/>
              </w:rPr>
              <w:t xml:space="preserve"> within 7(seven) days of its issuance for publication in their website, and that notice shall be kept posted for not less than a month.</w:t>
            </w:r>
          </w:p>
        </w:tc>
      </w:tr>
      <w:tr>
        <w:trPr/>
        <w:tc>
          <w:tcPr>
            <w:tcW w:w="2403" w:type="dxa"/>
            <w:gridSpan w:val="3"/>
            <w:vMerge w:val="continue"/>
            <w:tcBorders/>
            <w:shd w:color="auto" w:fill="auto" w:val="clear"/>
          </w:tcPr>
          <w:p>
            <w:pPr>
              <w:pStyle w:val="Normal"/>
              <w:widowControl w:val="false"/>
              <w:spacing w:before="120" w:after="0"/>
              <w:rPr>
                <w:rFonts w:ascii="Arial" w:hAnsi="Arial" w:cs="Arial"/>
                <w:sz w:val="21"/>
                <w:szCs w:val="21"/>
              </w:rPr>
            </w:pPr>
            <w:r>
              <w:rPr>
                <w:rFonts w:cs="Arial" w:ascii="Arial" w:hAnsi="Arial"/>
                <w:sz w:val="21"/>
                <w:szCs w:val="21"/>
              </w:rPr>
            </w:r>
          </w:p>
        </w:tc>
        <w:tc>
          <w:tcPr>
            <w:tcW w:w="6839" w:type="dxa"/>
            <w:tcBorders/>
          </w:tcPr>
          <w:p>
            <w:pPr>
              <w:pStyle w:val="Normal"/>
              <w:widowControl w:val="false"/>
              <w:numPr>
                <w:ilvl w:val="0"/>
                <w:numId w:val="107"/>
              </w:numPr>
              <w:spacing w:before="120" w:after="120"/>
              <w:ind w:left="648" w:hanging="756"/>
              <w:jc w:val="both"/>
              <w:rPr>
                <w:rFonts w:ascii="Arial" w:hAnsi="Arial" w:cs="Arial"/>
                <w:sz w:val="22"/>
                <w:szCs w:val="22"/>
              </w:rPr>
            </w:pPr>
            <w:r>
              <w:rPr>
                <w:rFonts w:cs="Arial" w:ascii="Arial" w:hAnsi="Arial"/>
                <w:sz w:val="22"/>
                <w:szCs w:val="22"/>
              </w:rPr>
              <w:t>The NOA for Contract below Taka one crore, shall be published by the Procuring Entity on its Notice Board and where applicable on the website of the Procuring Entity and  that notice shall be kept posted for not less than a month.</w:t>
            </w:r>
          </w:p>
        </w:tc>
      </w:tr>
      <w:tr>
        <w:trPr>
          <w:trHeight w:val="180" w:hRule="atLeast"/>
        </w:trPr>
        <w:tc>
          <w:tcPr>
            <w:tcW w:w="2403" w:type="dxa"/>
            <w:gridSpan w:val="3"/>
            <w:vMerge w:val="restart"/>
            <w:tcBorders/>
            <w:shd w:color="auto" w:fill="auto" w:val="clear"/>
          </w:tcPr>
          <w:p>
            <w:pPr>
              <w:pStyle w:val="Normal"/>
              <w:widowControl w:val="false"/>
              <w:numPr>
                <w:ilvl w:val="0"/>
                <w:numId w:val="31"/>
              </w:numPr>
              <w:spacing w:before="120" w:after="0"/>
              <w:ind w:left="360" w:hanging="346"/>
              <w:outlineLvl w:val="2"/>
              <w:rPr>
                <w:rStyle w:val="Heading3Char"/>
                <w:rFonts w:ascii="Arial" w:hAnsi="Arial"/>
                <w:b/>
                <w:b/>
                <w:sz w:val="22"/>
                <w:szCs w:val="22"/>
              </w:rPr>
            </w:pPr>
            <w:bookmarkStart w:id="411" w:name="_Toc421454264"/>
            <w:r>
              <w:rPr>
                <w:rStyle w:val="Heading3Char"/>
                <w:rFonts w:ascii="Arial" w:hAnsi="Arial"/>
                <w:b/>
                <w:sz w:val="22"/>
                <w:szCs w:val="22"/>
              </w:rPr>
              <w:t>Debriefing of Tenderers</w:t>
            </w:r>
            <w:bookmarkEnd w:id="411"/>
          </w:p>
        </w:tc>
        <w:tc>
          <w:tcPr>
            <w:tcW w:w="6839" w:type="dxa"/>
            <w:tcBorders/>
          </w:tcPr>
          <w:p>
            <w:pPr>
              <w:pStyle w:val="Normal"/>
              <w:widowControl w:val="false"/>
              <w:numPr>
                <w:ilvl w:val="1"/>
                <w:numId w:val="107"/>
              </w:numPr>
              <w:tabs>
                <w:tab w:val="clear" w:pos="720"/>
                <w:tab w:val="left" w:pos="612" w:leader="none"/>
              </w:tabs>
              <w:spacing w:before="120" w:after="120"/>
              <w:ind w:left="612" w:hanging="720"/>
              <w:jc w:val="both"/>
              <w:rPr>
                <w:rFonts w:ascii="Arial" w:hAnsi="Arial" w:cs="Arial"/>
                <w:sz w:val="22"/>
                <w:szCs w:val="22"/>
                <w:lang w:val="en-GB"/>
              </w:rPr>
            </w:pPr>
            <w:r>
              <w:rPr>
                <w:rFonts w:cs="Arial" w:ascii="Arial" w:hAnsi="Arial"/>
                <w:sz w:val="22"/>
                <w:szCs w:val="22"/>
                <w:lang w:val="en-GB"/>
              </w:rPr>
              <w:t>Debriefing of Tenderers by the Procuring Entity shall outline the relative status and weakness only of his or her Tender requesting to be informed of the grounds for not accepting the Tender submitted by him or her, without disclosing information about any other Tenderer.</w:t>
            </w:r>
          </w:p>
        </w:tc>
      </w:tr>
      <w:tr>
        <w:trPr/>
        <w:tc>
          <w:tcPr>
            <w:tcW w:w="2403" w:type="dxa"/>
            <w:gridSpan w:val="3"/>
            <w:vMerge w:val="continue"/>
            <w:tcBorders/>
            <w:shd w:color="auto" w:fill="auto" w:val="clear"/>
          </w:tcPr>
          <w:p>
            <w:pPr>
              <w:pStyle w:val="Normal"/>
              <w:widowControl w:val="false"/>
              <w:spacing w:before="120" w:after="0"/>
              <w:rPr>
                <w:rFonts w:ascii="Arial" w:hAnsi="Arial" w:cs="Arial"/>
                <w:sz w:val="21"/>
                <w:szCs w:val="21"/>
                <w:lang w:val="en-GB"/>
              </w:rPr>
            </w:pPr>
            <w:r>
              <w:rPr>
                <w:rFonts w:cs="Arial" w:ascii="Arial" w:hAnsi="Arial"/>
                <w:sz w:val="21"/>
                <w:szCs w:val="21"/>
                <w:lang w:val="en-GB"/>
              </w:rPr>
            </w:r>
          </w:p>
        </w:tc>
        <w:tc>
          <w:tcPr>
            <w:tcW w:w="6839" w:type="dxa"/>
            <w:tcBorders/>
          </w:tcPr>
          <w:p>
            <w:pPr>
              <w:pStyle w:val="Normal"/>
              <w:widowControl w:val="false"/>
              <w:numPr>
                <w:ilvl w:val="1"/>
                <w:numId w:val="107"/>
              </w:numPr>
              <w:tabs>
                <w:tab w:val="clear" w:pos="720"/>
                <w:tab w:val="left" w:pos="612" w:leader="none"/>
              </w:tabs>
              <w:spacing w:before="120" w:after="120"/>
              <w:ind w:left="657" w:hanging="720"/>
              <w:jc w:val="both"/>
              <w:rPr>
                <w:rFonts w:ascii="Arial" w:hAnsi="Arial" w:cs="Arial"/>
                <w:sz w:val="22"/>
                <w:szCs w:val="22"/>
              </w:rPr>
            </w:pPr>
            <w:r>
              <w:rPr>
                <w:rFonts w:cs="Arial" w:ascii="Arial" w:hAnsi="Arial"/>
                <w:sz w:val="22"/>
                <w:szCs w:val="22"/>
              </w:rPr>
              <w:t>In the case of debriefing confidentiality of the evaluation process shall be maintained.</w:t>
            </w:r>
          </w:p>
        </w:tc>
      </w:tr>
      <w:tr>
        <w:trPr>
          <w:trHeight w:val="873" w:hRule="atLeast"/>
        </w:trPr>
        <w:tc>
          <w:tcPr>
            <w:tcW w:w="2403" w:type="dxa"/>
            <w:gridSpan w:val="3"/>
            <w:tcBorders/>
            <w:shd w:color="auto" w:fill="auto" w:val="clear"/>
          </w:tcPr>
          <w:p>
            <w:pPr>
              <w:pStyle w:val="Normal"/>
              <w:widowControl w:val="false"/>
              <w:numPr>
                <w:ilvl w:val="0"/>
                <w:numId w:val="31"/>
              </w:numPr>
              <w:spacing w:before="120" w:after="0"/>
              <w:ind w:left="360" w:hanging="346"/>
              <w:outlineLvl w:val="2"/>
              <w:rPr>
                <w:rStyle w:val="Heading3Char"/>
                <w:rFonts w:ascii="Arial" w:hAnsi="Arial"/>
                <w:b/>
                <w:b/>
                <w:sz w:val="22"/>
                <w:szCs w:val="22"/>
              </w:rPr>
            </w:pPr>
            <w:bookmarkStart w:id="412" w:name="_Toc421454265"/>
            <w:r>
              <w:rPr>
                <w:rStyle w:val="Heading3Char"/>
                <w:rFonts w:ascii="Arial" w:hAnsi="Arial"/>
                <w:b/>
                <w:sz w:val="22"/>
                <w:szCs w:val="22"/>
              </w:rPr>
              <w:t>Adjudicator</w:t>
            </w:r>
            <w:bookmarkEnd w:id="412"/>
          </w:p>
        </w:tc>
        <w:tc>
          <w:tcPr>
            <w:tcW w:w="6839" w:type="dxa"/>
            <w:tcBorders/>
          </w:tcPr>
          <w:p>
            <w:pPr>
              <w:pStyle w:val="Normal"/>
              <w:keepLines/>
              <w:widowControl w:val="false"/>
              <w:numPr>
                <w:ilvl w:val="2"/>
                <w:numId w:val="107"/>
              </w:numPr>
              <w:tabs>
                <w:tab w:val="clear" w:pos="720"/>
                <w:tab w:val="left" w:pos="612" w:leader="none"/>
              </w:tabs>
              <w:spacing w:before="120" w:after="120"/>
              <w:ind w:left="612" w:hanging="720"/>
              <w:jc w:val="both"/>
              <w:rPr>
                <w:rFonts w:ascii="Arial" w:hAnsi="Arial" w:cs="Arial"/>
                <w:sz w:val="22"/>
                <w:szCs w:val="22"/>
                <w:lang w:val="en-GB"/>
              </w:rPr>
            </w:pPr>
            <w:r>
              <w:rPr>
                <w:rFonts w:cs="Arial" w:ascii="Arial" w:hAnsi="Arial"/>
                <w:sz w:val="22"/>
                <w:szCs w:val="22"/>
                <w:lang w:val="en-GB"/>
              </w:rPr>
              <w:t xml:space="preserve">The Procuring Entity proposes the person named in the </w:t>
            </w:r>
            <w:r>
              <w:rPr>
                <w:rFonts w:cs="Arial" w:ascii="Arial" w:hAnsi="Arial"/>
                <w:b/>
                <w:sz w:val="22"/>
                <w:szCs w:val="22"/>
                <w:lang w:val="en-GB"/>
              </w:rPr>
              <w:t>TDS</w:t>
            </w:r>
            <w:r>
              <w:rPr>
                <w:rFonts w:cs="Arial" w:ascii="Arial" w:hAnsi="Arial"/>
                <w:sz w:val="22"/>
                <w:szCs w:val="22"/>
                <w:lang w:val="en-GB"/>
              </w:rPr>
              <w:t xml:space="preserve"> to be appointed as Adjudicator under the Contract, at an hourly fee and for those reimbursable expenses as specified in the </w:t>
            </w:r>
            <w:r>
              <w:rPr>
                <w:rFonts w:cs="Arial" w:ascii="Arial" w:hAnsi="Arial"/>
                <w:b/>
                <w:sz w:val="22"/>
                <w:szCs w:val="22"/>
                <w:lang w:val="en-GB"/>
              </w:rPr>
              <w:t>TDS</w:t>
            </w:r>
            <w:r>
              <w:rPr>
                <w:rFonts w:cs="Arial" w:ascii="Arial" w:hAnsi="Arial"/>
                <w:sz w:val="22"/>
                <w:szCs w:val="22"/>
                <w:lang w:val="en-GB"/>
              </w:rPr>
              <w:t>.</w:t>
            </w:r>
          </w:p>
        </w:tc>
      </w:tr>
      <w:tr>
        <w:trPr>
          <w:trHeight w:val="513" w:hRule="atLeast"/>
        </w:trPr>
        <w:tc>
          <w:tcPr>
            <w:tcW w:w="2403" w:type="dxa"/>
            <w:gridSpan w:val="3"/>
            <w:tcBorders/>
            <w:shd w:color="auto" w:fill="auto" w:val="clear"/>
          </w:tcPr>
          <w:p>
            <w:pPr>
              <w:pStyle w:val="Normal"/>
              <w:widowControl w:val="false"/>
              <w:numPr>
                <w:ilvl w:val="0"/>
                <w:numId w:val="31"/>
              </w:numPr>
              <w:spacing w:before="120" w:after="0"/>
              <w:ind w:left="360" w:hanging="346"/>
              <w:outlineLvl w:val="2"/>
              <w:rPr>
                <w:rStyle w:val="Heading3Char"/>
                <w:rFonts w:ascii="Arial" w:hAnsi="Arial"/>
                <w:b/>
                <w:b/>
                <w:sz w:val="22"/>
                <w:szCs w:val="22"/>
              </w:rPr>
            </w:pPr>
            <w:bookmarkStart w:id="413" w:name="_Toc421454266"/>
            <w:r>
              <w:rPr>
                <w:rStyle w:val="Heading3Char"/>
                <w:rFonts w:ascii="Arial" w:hAnsi="Arial"/>
                <w:b/>
                <w:sz w:val="22"/>
                <w:szCs w:val="22"/>
              </w:rPr>
              <w:t>Right to Complain</w:t>
            </w:r>
            <w:bookmarkEnd w:id="413"/>
          </w:p>
        </w:tc>
        <w:tc>
          <w:tcPr>
            <w:tcW w:w="6839" w:type="dxa"/>
            <w:tcBorders/>
          </w:tcPr>
          <w:p>
            <w:pPr>
              <w:pStyle w:val="Normal"/>
              <w:keepLines/>
              <w:widowControl w:val="false"/>
              <w:numPr>
                <w:ilvl w:val="0"/>
                <w:numId w:val="137"/>
              </w:numPr>
              <w:tabs>
                <w:tab w:val="clear" w:pos="720"/>
                <w:tab w:val="left" w:pos="612" w:leader="none"/>
              </w:tabs>
              <w:spacing w:before="120" w:after="120"/>
              <w:ind w:left="612" w:hanging="720"/>
              <w:jc w:val="both"/>
              <w:rPr>
                <w:rFonts w:ascii="Arial" w:hAnsi="Arial" w:cs="Arial"/>
                <w:sz w:val="22"/>
                <w:szCs w:val="22"/>
                <w:lang w:val="en-GB"/>
              </w:rPr>
            </w:pPr>
            <w:r>
              <w:rPr>
                <w:rFonts w:cs="Arial" w:ascii="Arial" w:hAnsi="Arial"/>
                <w:sz w:val="22"/>
                <w:szCs w:val="22"/>
                <w:lang w:val="en-GB"/>
              </w:rPr>
              <w:t>Tenderer has the right to complain in accordance with the Public Procurement Act 2006 and the Public Procurement Rules, 2008.</w:t>
            </w:r>
          </w:p>
          <w:p>
            <w:pPr>
              <w:pStyle w:val="SubClauseText"/>
              <w:keepNext w:val="true"/>
              <w:keepLines/>
              <w:widowControl w:val="false"/>
              <w:tabs>
                <w:tab w:val="clear" w:pos="720"/>
                <w:tab w:val="left" w:pos="612" w:leader="none"/>
              </w:tabs>
              <w:spacing w:before="120" w:after="120"/>
              <w:ind w:left="612" w:hanging="720"/>
              <w:rPr>
                <w:rFonts w:ascii="Arial" w:hAnsi="Arial" w:cs="Arial"/>
                <w:sz w:val="21"/>
                <w:szCs w:val="21"/>
                <w:lang w:val="en-GB"/>
              </w:rPr>
            </w:pPr>
            <w:r>
              <w:rPr>
                <w:rFonts w:cs="Arial" w:ascii="Arial" w:hAnsi="Arial"/>
                <w:sz w:val="21"/>
                <w:szCs w:val="21"/>
                <w:lang w:val="en-GB"/>
              </w:rPr>
            </w:r>
          </w:p>
        </w:tc>
      </w:tr>
    </w:tbl>
    <w:p>
      <w:pPr>
        <w:sectPr>
          <w:footerReference w:type="default" r:id="rId3"/>
          <w:type w:val="nextPage"/>
          <w:pgSz w:w="11906" w:h="16838"/>
          <w:pgMar w:left="1440" w:right="1440" w:gutter="0" w:header="0" w:top="1260" w:footer="720" w:bottom="1440"/>
          <w:pgNumType w:start="1" w:fmt="decimal"/>
          <w:formProt w:val="false"/>
          <w:textDirection w:val="lrTb"/>
          <w:docGrid w:type="default" w:linePitch="100" w:charSpace="0"/>
        </w:sectPr>
      </w:pPr>
    </w:p>
    <w:tbl>
      <w:tblPr>
        <w:tblW w:w="9540" w:type="dxa"/>
        <w:jc w:val="left"/>
        <w:tblInd w:w="0" w:type="dxa"/>
        <w:tblLayout w:type="fixed"/>
        <w:tblCellMar>
          <w:top w:w="0" w:type="dxa"/>
          <w:left w:w="108" w:type="dxa"/>
          <w:bottom w:w="0" w:type="dxa"/>
          <w:right w:w="108" w:type="dxa"/>
        </w:tblCellMar>
        <w:tblLook w:val="00a0" w:noHBand="0" w:noVBand="0" w:firstColumn="1" w:lastRow="0" w:lastColumn="0" w:firstRow="1"/>
      </w:tblPr>
      <w:tblGrid>
        <w:gridCol w:w="1618"/>
        <w:gridCol w:w="7921"/>
      </w:tblGrid>
      <w:tr>
        <w:trPr/>
        <w:tc>
          <w:tcPr>
            <w:tcW w:w="9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Heading1"/>
              <w:widowControl w:val="false"/>
              <w:spacing w:before="120" w:after="120"/>
              <w:rPr>
                <w:rFonts w:ascii="Arial" w:hAnsi="Arial" w:eastAsia="Times New Roman" w:cs="Arial"/>
                <w:sz w:val="32"/>
                <w:lang w:val="en-GB"/>
              </w:rPr>
            </w:pPr>
            <w:r>
              <w:rPr>
                <w:rFonts w:eastAsia="Times New Roman" w:cs="Arial" w:ascii="Arial" w:hAnsi="Arial"/>
                <w:sz w:val="32"/>
                <w:lang w:val="en-GB"/>
              </w:rPr>
              <w:t>Se</w:t>
            </w:r>
            <w:bookmarkStart w:id="414" w:name="_Toc49504683"/>
            <w:bookmarkStart w:id="415" w:name="_Toc421454267"/>
            <w:bookmarkStart w:id="416" w:name="_Toc49504249"/>
            <w:bookmarkStart w:id="417" w:name="_Toc49591729"/>
            <w:bookmarkStart w:id="418" w:name="_Toc438366665"/>
            <w:bookmarkStart w:id="419" w:name="_Toc438954443"/>
            <w:bookmarkStart w:id="420" w:name="_Toc49504802"/>
            <w:bookmarkStart w:id="421" w:name="_Toc49569819"/>
            <w:bookmarkStart w:id="422" w:name="_Toc49591381"/>
            <w:r>
              <w:rPr>
                <w:rFonts w:eastAsia="Times New Roman" w:cs="Arial" w:ascii="Arial" w:hAnsi="Arial"/>
                <w:sz w:val="32"/>
                <w:lang w:val="en-GB"/>
              </w:rPr>
              <w:t>ction 2.</w:t>
              <w:tab/>
              <w:t>Tender Data Sheet</w:t>
            </w:r>
            <w:bookmarkEnd w:id="414"/>
            <w:bookmarkEnd w:id="415"/>
            <w:bookmarkEnd w:id="416"/>
            <w:bookmarkEnd w:id="417"/>
            <w:bookmarkEnd w:id="418"/>
            <w:bookmarkEnd w:id="419"/>
            <w:bookmarkEnd w:id="420"/>
            <w:bookmarkEnd w:id="421"/>
            <w:bookmarkEnd w:id="422"/>
          </w:p>
        </w:tc>
      </w:tr>
      <w:tr>
        <w:trPr/>
        <w:tc>
          <w:tcPr>
            <w:tcW w:w="9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Subtitle"/>
              <w:widowControl w:val="false"/>
              <w:spacing w:before="120" w:after="120"/>
              <w:rPr>
                <w:rFonts w:ascii="Arial" w:hAnsi="Arial" w:cs="Arial"/>
                <w:b w:val="false"/>
                <w:b w:val="false"/>
                <w:bCs/>
                <w:sz w:val="22"/>
                <w:szCs w:val="22"/>
                <w:lang w:val="en-GB"/>
              </w:rPr>
            </w:pPr>
            <w:r>
              <w:rPr>
                <w:rFonts w:cs="Arial" w:ascii="Arial" w:hAnsi="Arial"/>
                <w:b w:val="false"/>
                <w:bCs/>
                <w:i/>
                <w:iCs/>
                <w:sz w:val="22"/>
                <w:szCs w:val="22"/>
                <w:lang w:val="en-GB"/>
              </w:rPr>
              <w:t>Instructions for completing the Tender Data Sheet are provided, as needed, in the notes in italics and under lined mentioned for the relevant ITT clauses.</w:t>
            </w:r>
          </w:p>
        </w:tc>
      </w:tr>
      <w:tr>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120"/>
              <w:rPr>
                <w:rFonts w:ascii="Arial" w:hAnsi="Arial" w:eastAsia="Times New Roman" w:cs="Arial"/>
                <w:b/>
                <w:b/>
                <w:bCs/>
                <w:sz w:val="22"/>
                <w:szCs w:val="22"/>
                <w:lang w:val="en-GB"/>
              </w:rPr>
            </w:pPr>
            <w:r>
              <w:rPr>
                <w:rFonts w:eastAsia="Times New Roman" w:cs="Arial" w:ascii="Arial" w:hAnsi="Arial"/>
                <w:b/>
                <w:bCs/>
                <w:sz w:val="22"/>
                <w:szCs w:val="22"/>
                <w:lang w:val="en-GB"/>
              </w:rPr>
              <w:t>ITT Clause</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218" w:leader="none"/>
              </w:tabs>
              <w:spacing w:before="120" w:after="120"/>
              <w:jc w:val="both"/>
              <w:rPr>
                <w:rFonts w:ascii="Arial" w:hAnsi="Arial" w:eastAsia="Times New Roman" w:cs="Arial"/>
                <w:sz w:val="22"/>
                <w:szCs w:val="22"/>
                <w:lang w:val="en-GB" w:eastAsia="it-IT"/>
              </w:rPr>
            </w:pPr>
            <w:r>
              <w:rPr>
                <w:rFonts w:eastAsia="Times New Roman" w:cs="Arial" w:ascii="Arial" w:hAnsi="Arial"/>
                <w:bCs/>
                <w:sz w:val="22"/>
                <w:szCs w:val="22"/>
                <w:lang w:val="en-GB"/>
              </w:rPr>
              <w:t>Amendments of, and Supplements to, Clauses in the Instruction to Tenderers</w:t>
            </w:r>
          </w:p>
        </w:tc>
      </w:tr>
      <w:tr>
        <w:trPr>
          <w:trHeight w:val="372" w:hRule="atLeast"/>
        </w:trPr>
        <w:tc>
          <w:tcPr>
            <w:tcW w:w="9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Heading2"/>
              <w:widowControl w:val="false"/>
              <w:spacing w:before="120" w:after="120"/>
              <w:rPr>
                <w:rFonts w:ascii="Arial" w:hAnsi="Arial" w:eastAsia="Times New Roman"/>
                <w:lang w:val="en-GB"/>
              </w:rPr>
            </w:pPr>
            <w:bookmarkStart w:id="423" w:name="_Toc506185677"/>
            <w:bookmarkStart w:id="424" w:name="_Toc49569820"/>
            <w:bookmarkStart w:id="425" w:name="_Toc421454268"/>
            <w:bookmarkStart w:id="426" w:name="_Toc49591382"/>
            <w:bookmarkStart w:id="427" w:name="_Toc505659529"/>
            <w:bookmarkStart w:id="428" w:name="_Toc49591730"/>
            <w:bookmarkStart w:id="429" w:name="_Toc37047319"/>
            <w:r>
              <w:rPr>
                <w:rFonts w:eastAsia="Times New Roman" w:ascii="Arial" w:hAnsi="Arial"/>
                <w:lang w:val="en-GB"/>
              </w:rPr>
              <w:t>A.</w:t>
              <w:tab/>
              <w:t>General</w:t>
            </w:r>
            <w:bookmarkEnd w:id="423"/>
            <w:bookmarkEnd w:id="424"/>
            <w:bookmarkEnd w:id="425"/>
            <w:bookmarkEnd w:id="426"/>
            <w:bookmarkEnd w:id="427"/>
            <w:bookmarkEnd w:id="428"/>
            <w:bookmarkEnd w:id="429"/>
          </w:p>
        </w:tc>
      </w:tr>
      <w:tr>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120"/>
              <w:rPr>
                <w:rFonts w:ascii="Arial" w:hAnsi="Arial" w:eastAsia="Times New Roman" w:cs="Arial"/>
                <w:b/>
                <w:b/>
                <w:sz w:val="22"/>
                <w:szCs w:val="22"/>
                <w:lang w:val="en-GB"/>
              </w:rPr>
            </w:pPr>
            <w:r>
              <w:rPr>
                <w:rFonts w:eastAsia="Times New Roman" w:cs="Arial" w:ascii="Arial" w:hAnsi="Arial"/>
                <w:b/>
                <w:sz w:val="22"/>
                <w:szCs w:val="22"/>
                <w:lang w:val="en-GB"/>
              </w:rPr>
              <w:t>ITT 1.1</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272" w:leader="none"/>
              </w:tabs>
              <w:spacing w:before="120" w:after="120"/>
              <w:rPr>
                <w:rFonts w:eastAsia="Times New Roman"/>
                <w:b/>
                <w:b/>
                <w:iCs/>
                <w:sz w:val="22"/>
                <w:szCs w:val="22"/>
                <w:lang w:val="en-GB"/>
              </w:rPr>
            </w:pPr>
            <w:r>
              <w:rPr>
                <w:rFonts w:eastAsia="Times New Roman" w:cs="Arial" w:ascii="Arial" w:hAnsi="Arial"/>
                <w:sz w:val="22"/>
                <w:szCs w:val="22"/>
                <w:lang w:val="en-GB"/>
              </w:rPr>
              <w:t xml:space="preserve">The Procuring Entity </w:t>
            </w:r>
            <w:r>
              <w:rPr>
                <w:rFonts w:eastAsia="Times New Roman" w:cs="Arial" w:ascii="Arial" w:hAnsi="Arial"/>
                <w:iCs/>
                <w:sz w:val="22"/>
                <w:szCs w:val="22"/>
                <w:lang w:val="en-GB"/>
              </w:rPr>
              <w:t>is</w:t>
            </w:r>
            <w:r>
              <w:rPr>
                <w:rFonts w:eastAsia="Times New Roman" w:cs="Arial" w:ascii="Arial" w:hAnsi="Arial"/>
                <w:i/>
                <w:iCs/>
                <w:sz w:val="22"/>
                <w:szCs w:val="22"/>
                <w:lang w:val="en-GB"/>
              </w:rPr>
              <w:t xml:space="preserve"> </w:t>
            </w:r>
            <w:r>
              <w:rPr>
                <w:rFonts w:eastAsia="Arial Unicode MS" w:cs="Arial" w:ascii="Arial" w:hAnsi="Arial"/>
                <w:b/>
                <w:iCs/>
                <w:sz w:val="22"/>
                <w:szCs w:val="22"/>
                <w:lang w:val="en-GB"/>
              </w:rPr>
              <w:t>Online Admission Committee</w:t>
            </w:r>
          </w:p>
          <w:p>
            <w:pPr>
              <w:pStyle w:val="Title"/>
              <w:widowControl w:val="false"/>
              <w:jc w:val="both"/>
              <w:rPr>
                <w:rFonts w:ascii="Arial" w:hAnsi="Arial" w:cs="Arial"/>
                <w:bCs/>
                <w:sz w:val="12"/>
                <w:szCs w:val="22"/>
                <w:lang w:val="en-GB"/>
              </w:rPr>
            </w:pPr>
            <w:r>
              <w:rPr>
                <w:rFonts w:cs="Arial" w:ascii="Arial" w:hAnsi="Arial"/>
                <w:b w:val="false"/>
                <w:sz w:val="22"/>
                <w:szCs w:val="22"/>
                <w:lang w:val="en-GB"/>
              </w:rPr>
              <w:t>The Name of the Tender is:</w:t>
            </w:r>
            <w:r>
              <w:rPr>
                <w:rFonts w:cs="Arial" w:ascii="Arial" w:hAnsi="Arial"/>
                <w:sz w:val="22"/>
                <w:szCs w:val="22"/>
                <w:lang w:val="en-GB"/>
              </w:rPr>
              <w:t xml:space="preserve"> </w:t>
            </w:r>
            <w:r>
              <w:rPr>
                <w:rFonts w:cs="Arial" w:ascii="Arial" w:hAnsi="Arial"/>
                <w:b/>
                <w:sz w:val="22"/>
                <w:szCs w:val="32"/>
                <w:lang w:val="en-GB"/>
              </w:rPr>
              <w:t>Procurement of PVC/PET ID card printer with laminator &amp; Encoder with consumables</w:t>
            </w:r>
            <w:r>
              <w:rPr>
                <w:rFonts w:cs="Arial" w:ascii="Arial" w:hAnsi="Arial"/>
                <w:sz w:val="20"/>
                <w:szCs w:val="32"/>
                <w:lang w:val="en-GB"/>
              </w:rPr>
              <w:t>.</w:t>
            </w:r>
          </w:p>
          <w:p>
            <w:pPr>
              <w:pStyle w:val="Normal"/>
              <w:keepNext w:val="true"/>
              <w:widowControl w:val="false"/>
              <w:tabs>
                <w:tab w:val="clear" w:pos="720"/>
                <w:tab w:val="right" w:pos="7272" w:leader="none"/>
              </w:tabs>
              <w:spacing w:before="60" w:after="60"/>
              <w:jc w:val="both"/>
              <w:rPr>
                <w:rFonts w:ascii="Arial" w:hAnsi="Arial" w:cs="Arial"/>
                <w:b/>
                <w:b/>
                <w:bCs/>
                <w:sz w:val="18"/>
                <w:szCs w:val="18"/>
                <w:lang w:val="en-GB"/>
              </w:rPr>
            </w:pPr>
            <w:r>
              <w:rPr>
                <w:rFonts w:eastAsia="Times New Roman" w:cs="Arial" w:ascii="Arial" w:hAnsi="Arial"/>
                <w:sz w:val="22"/>
                <w:szCs w:val="22"/>
                <w:lang w:val="en-GB"/>
              </w:rPr>
              <w:t>Tender Ref</w:t>
            </w:r>
            <w:r>
              <w:rPr>
                <w:rFonts w:eastAsia="Times New Roman" w:cs="Arial" w:ascii="Arial" w:hAnsi="Arial"/>
                <w:b/>
                <w:sz w:val="22"/>
                <w:szCs w:val="22"/>
                <w:lang w:val="en-GB"/>
              </w:rPr>
              <w:t xml:space="preserve">: </w:t>
            </w:r>
            <w:r>
              <w:rPr>
                <w:rFonts w:cs="Arial" w:ascii="Arial" w:hAnsi="Arial"/>
                <w:b/>
                <w:bCs/>
                <w:sz w:val="18"/>
                <w:szCs w:val="18"/>
                <w:lang w:val="en-GB"/>
              </w:rPr>
              <w:t>DU/CAO/OTM/2023/147/001</w:t>
            </w:r>
            <w:r>
              <w:rPr>
                <w:rFonts w:eastAsia="Times New Roman" w:cs="Arial" w:ascii="Arial" w:hAnsi="Arial"/>
                <w:b/>
                <w:color w:val="FF0000"/>
                <w:sz w:val="20"/>
                <w:szCs w:val="22"/>
                <w:lang w:val="en-GB"/>
              </w:rPr>
              <w:t xml:space="preserve"> </w:t>
            </w:r>
            <w:r>
              <w:rPr>
                <w:rFonts w:cs="Arial" w:ascii="Arial" w:hAnsi="Arial"/>
                <w:b/>
                <w:bCs/>
                <w:sz w:val="18"/>
                <w:szCs w:val="18"/>
                <w:lang w:val="en-GB"/>
              </w:rPr>
              <w:t>Date: 15.02.2023</w:t>
            </w:r>
          </w:p>
          <w:p>
            <w:pPr>
              <w:pStyle w:val="Title"/>
              <w:widowControl w:val="false"/>
              <w:ind w:left="2155" w:hanging="2155"/>
              <w:jc w:val="both"/>
              <w:rPr>
                <w:rFonts w:ascii="Arial" w:hAnsi="Arial" w:cs="Arial"/>
                <w:b w:val="false"/>
                <w:b w:val="false"/>
                <w:sz w:val="22"/>
                <w:szCs w:val="32"/>
                <w:lang w:val="en-GB"/>
              </w:rPr>
            </w:pPr>
            <w:r>
              <w:rPr>
                <w:rFonts w:cs="Arial" w:ascii="Arial" w:hAnsi="Arial"/>
                <w:b w:val="false"/>
                <w:sz w:val="22"/>
                <w:szCs w:val="22"/>
                <w:lang w:val="en-GB"/>
              </w:rPr>
              <w:t>Lot No(s):</w:t>
            </w:r>
            <w:r>
              <w:rPr>
                <w:rFonts w:cs="Arial" w:ascii="Arial" w:hAnsi="Arial"/>
                <w:sz w:val="22"/>
                <w:szCs w:val="22"/>
                <w:lang w:val="en-GB"/>
              </w:rPr>
              <w:t xml:space="preserve"> Lot 1 - </w:t>
            </w:r>
            <w:r>
              <w:rPr>
                <w:rFonts w:cs="Arial" w:ascii="Arial" w:hAnsi="Arial"/>
                <w:b w:val="false"/>
                <w:sz w:val="22"/>
                <w:szCs w:val="32"/>
                <w:lang w:val="en-GB"/>
              </w:rPr>
              <w:t>PVC/PET ID card printer with laminator &amp; Encoder, Registered lamination film (Hologram Patch Roll), Color Ribbon, Cleaning Kit.</w:t>
            </w:r>
          </w:p>
          <w:p>
            <w:pPr>
              <w:pStyle w:val="Title"/>
              <w:widowControl w:val="false"/>
              <w:ind w:left="1080" w:hanging="1080"/>
              <w:jc w:val="both"/>
              <w:rPr>
                <w:rFonts w:ascii="Arial" w:hAnsi="Arial" w:cs="Arial"/>
                <w:b w:val="false"/>
                <w:b w:val="false"/>
                <w:bCs/>
                <w:sz w:val="12"/>
                <w:szCs w:val="22"/>
                <w:lang w:val="en-GB"/>
              </w:rPr>
            </w:pPr>
            <w:r>
              <w:rPr>
                <w:rFonts w:cs="Arial" w:ascii="Arial" w:hAnsi="Arial"/>
                <w:sz w:val="22"/>
                <w:szCs w:val="32"/>
                <w:lang w:val="en-GB"/>
              </w:rPr>
              <w:tab/>
              <w:t xml:space="preserve">  Lot 2 -</w:t>
            </w:r>
            <w:r>
              <w:rPr>
                <w:rFonts w:cs="Arial" w:ascii="Arial" w:hAnsi="Arial"/>
                <w:b w:val="false"/>
                <w:sz w:val="22"/>
                <w:szCs w:val="32"/>
                <w:lang w:val="en-GB"/>
              </w:rPr>
              <w:t xml:space="preserve">     Contactless NFC PVC Card (8K)</w:t>
            </w:r>
          </w:p>
        </w:tc>
      </w:tr>
      <w:tr>
        <w:trPr>
          <w:trHeight w:val="330" w:hRule="atLeast"/>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120"/>
              <w:rPr>
                <w:rFonts w:ascii="Arial" w:hAnsi="Arial" w:eastAsia="Times New Roman" w:cs="Arial"/>
                <w:b/>
                <w:b/>
                <w:sz w:val="22"/>
                <w:szCs w:val="22"/>
                <w:lang w:val="en-GB"/>
              </w:rPr>
            </w:pPr>
            <w:r>
              <w:rPr>
                <w:rFonts w:eastAsia="Times New Roman" w:cs="Arial" w:ascii="Arial" w:hAnsi="Arial"/>
                <w:b/>
                <w:sz w:val="22"/>
                <w:szCs w:val="22"/>
                <w:lang w:val="en-GB"/>
              </w:rPr>
              <w:t>ITT 3.1</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254" w:leader="none"/>
              </w:tabs>
              <w:spacing w:before="120" w:after="120"/>
              <w:rPr>
                <w:rFonts w:ascii="Arial" w:hAnsi="Arial" w:eastAsia="Times New Roman" w:cs="Arial"/>
                <w:sz w:val="22"/>
                <w:szCs w:val="22"/>
                <w:lang w:val="en-GB"/>
              </w:rPr>
            </w:pPr>
            <w:r>
              <w:rPr>
                <w:rFonts w:eastAsia="Times New Roman" w:cs="Arial" w:ascii="Arial" w:hAnsi="Arial"/>
                <w:sz w:val="22"/>
                <w:szCs w:val="22"/>
                <w:lang w:val="en-GB"/>
              </w:rPr>
              <w:t>Own fund</w:t>
            </w:r>
          </w:p>
        </w:tc>
      </w:tr>
      <w:tr>
        <w:trPr>
          <w:trHeight w:val="456" w:hRule="atLeast"/>
        </w:trPr>
        <w:tc>
          <w:tcPr>
            <w:tcW w:w="9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Heading2"/>
              <w:widowControl w:val="false"/>
              <w:spacing w:before="120" w:after="120"/>
              <w:rPr>
                <w:rFonts w:ascii="Arial" w:hAnsi="Arial" w:eastAsia="Times New Roman"/>
                <w:lang w:val="fr-FR"/>
              </w:rPr>
            </w:pPr>
            <w:bookmarkStart w:id="430" w:name="_Toc49591731"/>
            <w:bookmarkStart w:id="431" w:name="_Toc421454269"/>
            <w:bookmarkStart w:id="432" w:name="_Toc49591383"/>
            <w:bookmarkStart w:id="433" w:name="_Toc49569821"/>
            <w:r>
              <w:rPr>
                <w:rFonts w:eastAsia="Times New Roman" w:ascii="Arial" w:hAnsi="Arial"/>
                <w:lang w:val="fr-FR"/>
              </w:rPr>
              <w:t>B.</w:t>
              <w:tab/>
              <w:t>Tender Document</w:t>
            </w:r>
            <w:bookmarkEnd w:id="430"/>
            <w:bookmarkEnd w:id="431"/>
            <w:bookmarkEnd w:id="432"/>
            <w:bookmarkEnd w:id="433"/>
          </w:p>
        </w:tc>
      </w:tr>
      <w:tr>
        <w:trPr>
          <w:trHeight w:val="1177" w:hRule="atLeast"/>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Heading5"/>
              <w:widowControl w:val="false"/>
              <w:spacing w:before="120" w:after="120"/>
              <w:jc w:val="left"/>
              <w:rPr>
                <w:rFonts w:ascii="Arial" w:hAnsi="Arial" w:cs="Arial"/>
                <w:bCs/>
                <w:sz w:val="22"/>
                <w:szCs w:val="22"/>
                <w:lang w:val="fr-FR"/>
              </w:rPr>
            </w:pPr>
            <w:r>
              <w:rPr>
                <w:rFonts w:cs="Arial" w:ascii="Arial" w:hAnsi="Arial"/>
                <w:bCs/>
                <w:sz w:val="22"/>
                <w:szCs w:val="22"/>
                <w:lang w:val="fr-FR"/>
              </w:rPr>
              <w:t>ITT8.2</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widowControl w:val="false"/>
              <w:tabs>
                <w:tab w:val="clear" w:pos="720"/>
                <w:tab w:val="right" w:pos="7254" w:leader="none"/>
              </w:tabs>
              <w:spacing w:before="60" w:after="60"/>
              <w:jc w:val="both"/>
              <w:rPr>
                <w:rFonts w:ascii="Arial" w:hAnsi="Arial" w:eastAsia="Times New Roman" w:cs="Arial"/>
                <w:sz w:val="22"/>
                <w:szCs w:val="22"/>
                <w:lang w:val="en-GB"/>
              </w:rPr>
            </w:pPr>
            <w:r>
              <w:rPr>
                <w:rFonts w:eastAsia="Times New Roman" w:cs="Arial" w:ascii="Arial" w:hAnsi="Arial"/>
                <w:sz w:val="22"/>
                <w:szCs w:val="22"/>
                <w:lang w:val="en-GB"/>
              </w:rPr>
              <w:t>The following are authorised offices of the Procuring Entity for the purpose of issuing the Tender Document:</w:t>
            </w:r>
          </w:p>
          <w:p>
            <w:pPr>
              <w:pStyle w:val="Normal"/>
              <w:keepNext w:val="true"/>
              <w:widowControl w:val="false"/>
              <w:tabs>
                <w:tab w:val="clear" w:pos="720"/>
                <w:tab w:val="right" w:pos="7254" w:leader="none"/>
              </w:tabs>
              <w:spacing w:before="60" w:after="60"/>
              <w:jc w:val="both"/>
              <w:rPr>
                <w:rFonts w:ascii="Arial" w:hAnsi="Arial" w:eastAsia="Times New Roman" w:cs="Arial"/>
                <w:sz w:val="22"/>
                <w:szCs w:val="22"/>
                <w:lang w:val="en-GB"/>
              </w:rPr>
            </w:pPr>
            <w:r>
              <w:rPr>
                <w:rFonts w:eastAsia="Times New Roman" w:cs="Arial" w:ascii="Arial" w:hAnsi="Arial"/>
                <w:sz w:val="22"/>
                <w:szCs w:val="22"/>
                <w:lang w:val="en-GB"/>
              </w:rPr>
              <w:t>Office Name: Central Admission Office</w:t>
            </w:r>
          </w:p>
          <w:p>
            <w:pPr>
              <w:pStyle w:val="Normal"/>
              <w:keepNext w:val="true"/>
              <w:widowControl w:val="false"/>
              <w:tabs>
                <w:tab w:val="clear" w:pos="720"/>
                <w:tab w:val="right" w:pos="7254" w:leader="none"/>
              </w:tabs>
              <w:spacing w:before="60" w:after="60"/>
              <w:jc w:val="both"/>
              <w:rPr>
                <w:rFonts w:ascii="Arial" w:hAnsi="Arial" w:eastAsia="Times New Roman" w:cs="Arial"/>
                <w:sz w:val="22"/>
                <w:szCs w:val="22"/>
                <w:lang w:val="en-GB"/>
              </w:rPr>
            </w:pPr>
            <w:r>
              <w:rPr>
                <w:rFonts w:eastAsia="Times New Roman" w:cs="Arial" w:ascii="Arial" w:hAnsi="Arial"/>
                <w:sz w:val="22"/>
                <w:szCs w:val="22"/>
                <w:lang w:val="en-GB"/>
              </w:rPr>
              <w:t>Address: Room 214, Office of the Registrar, University of Dhaka</w:t>
            </w:r>
          </w:p>
          <w:p>
            <w:pPr>
              <w:pStyle w:val="Normal"/>
              <w:keepNext w:val="true"/>
              <w:widowControl w:val="false"/>
              <w:tabs>
                <w:tab w:val="clear" w:pos="720"/>
                <w:tab w:val="right" w:pos="7254" w:leader="none"/>
              </w:tabs>
              <w:spacing w:before="60" w:after="60"/>
              <w:jc w:val="both"/>
              <w:rPr>
                <w:rFonts w:ascii="Arial" w:hAnsi="Arial" w:eastAsia="Times New Roman" w:cs="Arial"/>
                <w:sz w:val="22"/>
                <w:szCs w:val="22"/>
                <w:lang w:val="en-GB"/>
              </w:rPr>
            </w:pPr>
            <w:r>
              <w:rPr>
                <w:rFonts w:eastAsia="Times New Roman" w:cs="Arial" w:ascii="Arial" w:hAnsi="Arial"/>
                <w:sz w:val="22"/>
                <w:szCs w:val="22"/>
                <w:lang w:val="en-GB"/>
              </w:rPr>
              <w:t>Telephone No.: 55167804/9661900-59 (4052)</w:t>
            </w:r>
          </w:p>
          <w:p>
            <w:pPr>
              <w:pStyle w:val="Normal"/>
              <w:keepNext w:val="true"/>
              <w:widowControl w:val="false"/>
              <w:tabs>
                <w:tab w:val="clear" w:pos="720"/>
                <w:tab w:val="right" w:pos="7254" w:leader="none"/>
              </w:tabs>
              <w:spacing w:before="60" w:after="60"/>
              <w:jc w:val="both"/>
              <w:rPr>
                <w:rFonts w:ascii="Arial" w:hAnsi="Arial" w:eastAsia="Times New Roman" w:cs="Arial"/>
                <w:sz w:val="22"/>
                <w:szCs w:val="22"/>
                <w:lang w:val="en-GB"/>
              </w:rPr>
            </w:pPr>
            <w:r>
              <w:rPr>
                <w:rFonts w:eastAsia="Times New Roman" w:cs="Arial" w:ascii="Arial" w:hAnsi="Arial"/>
                <w:sz w:val="22"/>
                <w:szCs w:val="22"/>
                <w:lang w:val="en-GB"/>
              </w:rPr>
              <w:t>e-mail address: admission@eis.du.ac.bd</w:t>
            </w:r>
          </w:p>
        </w:tc>
      </w:tr>
      <w:tr>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Heading5"/>
              <w:widowControl w:val="false"/>
              <w:spacing w:before="120" w:after="120"/>
              <w:jc w:val="left"/>
              <w:rPr>
                <w:rFonts w:ascii="Arial" w:hAnsi="Arial" w:cs="Arial"/>
                <w:bCs/>
                <w:lang w:val="en-GB"/>
              </w:rPr>
            </w:pPr>
            <w:r>
              <w:rPr>
                <w:rFonts w:cs="Arial" w:ascii="Arial" w:hAnsi="Arial"/>
                <w:bCs/>
                <w:sz w:val="22"/>
                <w:szCs w:val="22"/>
                <w:lang w:val="en-GB"/>
              </w:rPr>
              <w:t>ITT 9.1</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widowControl w:val="false"/>
              <w:tabs>
                <w:tab w:val="clear" w:pos="720"/>
                <w:tab w:val="right" w:pos="7254" w:leader="none"/>
              </w:tabs>
              <w:spacing w:before="60" w:after="60"/>
              <w:rPr>
                <w:rFonts w:ascii="Arial" w:hAnsi="Arial" w:eastAsia="Times New Roman" w:cs="Arial"/>
                <w:sz w:val="22"/>
                <w:szCs w:val="22"/>
                <w:lang w:val="en-GB"/>
              </w:rPr>
            </w:pPr>
            <w:r>
              <w:rPr>
                <w:rFonts w:eastAsia="Times New Roman" w:cs="Arial" w:ascii="Arial" w:hAnsi="Arial"/>
                <w:sz w:val="22"/>
                <w:szCs w:val="22"/>
                <w:lang w:val="en-GB"/>
              </w:rPr>
              <w:t xml:space="preserve">For </w:t>
            </w:r>
            <w:r>
              <w:rPr>
                <w:rFonts w:eastAsia="Times New Roman" w:cs="Arial" w:ascii="Arial" w:hAnsi="Arial"/>
                <w:b/>
                <w:sz w:val="22"/>
                <w:szCs w:val="22"/>
                <w:u w:val="single"/>
                <w:lang w:val="en-GB"/>
              </w:rPr>
              <w:t>clarification of Tender Document  purposes</w:t>
            </w:r>
            <w:r>
              <w:rPr>
                <w:rFonts w:eastAsia="Times New Roman" w:cs="Arial" w:ascii="Arial" w:hAnsi="Arial"/>
                <w:sz w:val="22"/>
                <w:szCs w:val="22"/>
                <w:lang w:val="en-GB"/>
              </w:rPr>
              <w:t xml:space="preserve"> only, the Procuring Entity’s address is:</w:t>
            </w:r>
          </w:p>
          <w:p>
            <w:pPr>
              <w:pStyle w:val="Normal"/>
              <w:keepNext w:val="true"/>
              <w:widowControl w:val="false"/>
              <w:tabs>
                <w:tab w:val="clear" w:pos="720"/>
                <w:tab w:val="right" w:pos="7254" w:leader="none"/>
              </w:tabs>
              <w:spacing w:before="60" w:after="60"/>
              <w:jc w:val="both"/>
              <w:rPr>
                <w:rFonts w:ascii="Arial" w:hAnsi="Arial" w:eastAsia="Times New Roman" w:cs="Arial"/>
                <w:sz w:val="22"/>
                <w:szCs w:val="22"/>
                <w:lang w:val="en-GB"/>
              </w:rPr>
            </w:pPr>
            <w:r>
              <w:rPr>
                <w:rFonts w:eastAsia="Times New Roman" w:cs="Arial" w:ascii="Arial" w:hAnsi="Arial"/>
                <w:sz w:val="22"/>
                <w:szCs w:val="22"/>
                <w:lang w:val="en-GB"/>
              </w:rPr>
              <w:t>Attention: Saiful Ahsan, Deputy Registrar, office of the Registra</w:t>
            </w:r>
          </w:p>
          <w:p>
            <w:pPr>
              <w:pStyle w:val="Normal"/>
              <w:keepNext w:val="true"/>
              <w:widowControl w:val="false"/>
              <w:tabs>
                <w:tab w:val="clear" w:pos="720"/>
                <w:tab w:val="right" w:pos="7254" w:leader="none"/>
              </w:tabs>
              <w:spacing w:before="60" w:after="60"/>
              <w:jc w:val="both"/>
              <w:rPr>
                <w:rFonts w:ascii="Arial" w:hAnsi="Arial" w:eastAsia="Times New Roman" w:cs="Arial"/>
                <w:sz w:val="22"/>
                <w:szCs w:val="22"/>
                <w:lang w:val="en-GB"/>
              </w:rPr>
            </w:pPr>
            <w:r>
              <w:rPr>
                <w:rFonts w:eastAsia="Times New Roman" w:cs="Arial" w:ascii="Arial" w:hAnsi="Arial"/>
                <w:sz w:val="22"/>
                <w:szCs w:val="22"/>
                <w:lang w:val="en-GB"/>
              </w:rPr>
              <w:t>Address: Room-207, Office of the Registrar, University of Dhaka</w:t>
            </w:r>
          </w:p>
          <w:p>
            <w:pPr>
              <w:pStyle w:val="Normal"/>
              <w:keepNext w:val="true"/>
              <w:widowControl w:val="false"/>
              <w:tabs>
                <w:tab w:val="clear" w:pos="720"/>
                <w:tab w:val="right" w:pos="7254" w:leader="none"/>
              </w:tabs>
              <w:spacing w:before="60" w:after="60"/>
              <w:jc w:val="both"/>
              <w:rPr>
                <w:rFonts w:ascii="Arial" w:hAnsi="Arial" w:eastAsia="Times New Roman" w:cs="Arial"/>
                <w:sz w:val="22"/>
                <w:szCs w:val="22"/>
                <w:lang w:val="en-GB"/>
              </w:rPr>
            </w:pPr>
            <w:r>
              <w:rPr>
                <w:rFonts w:eastAsia="Times New Roman" w:cs="Arial" w:ascii="Arial" w:hAnsi="Arial"/>
                <w:sz w:val="22"/>
                <w:szCs w:val="22"/>
                <w:lang w:val="en-GB"/>
              </w:rPr>
              <w:t>Telephone: 55167804/9661900-59 (4025)</w:t>
            </w:r>
          </w:p>
          <w:p>
            <w:pPr>
              <w:pStyle w:val="Normal"/>
              <w:keepNext w:val="true"/>
              <w:widowControl w:val="false"/>
              <w:tabs>
                <w:tab w:val="clear" w:pos="720"/>
                <w:tab w:val="right" w:pos="7254" w:leader="none"/>
              </w:tabs>
              <w:spacing w:before="60" w:after="60"/>
              <w:jc w:val="both"/>
              <w:rPr>
                <w:rFonts w:ascii="Arial" w:hAnsi="Arial" w:eastAsia="Times New Roman" w:cs="Arial"/>
                <w:sz w:val="22"/>
                <w:szCs w:val="22"/>
                <w:lang w:val="en-GB"/>
              </w:rPr>
            </w:pPr>
            <w:r>
              <w:rPr>
                <w:rFonts w:eastAsia="Times New Roman" w:cs="Arial" w:ascii="Arial" w:hAnsi="Arial"/>
                <w:sz w:val="22"/>
                <w:szCs w:val="22"/>
                <w:lang w:val="en-GB"/>
              </w:rPr>
              <w:t>e-mail address: admission.eis@du.ac.bd</w:t>
            </w:r>
          </w:p>
          <w:p>
            <w:pPr>
              <w:pStyle w:val="Normal"/>
              <w:widowControl w:val="false"/>
              <w:spacing w:before="120" w:after="120"/>
              <w:rPr>
                <w:rFonts w:eastAsia="Times New Roman"/>
                <w:b/>
                <w:b/>
                <w:bCs/>
                <w:lang w:val="en-GB"/>
              </w:rPr>
            </w:pPr>
            <w:r>
              <w:rPr>
                <w:rFonts w:eastAsia="Times New Roman" w:cs="Arial" w:ascii="Arial" w:hAnsi="Arial"/>
                <w:sz w:val="22"/>
                <w:szCs w:val="22"/>
                <w:lang w:val="en-GB"/>
              </w:rPr>
              <w:t xml:space="preserve">and contact Procuring Entity within </w:t>
            </w:r>
            <w:r>
              <w:rPr>
                <w:rFonts w:eastAsia="Times New Roman" w:cs="Arial" w:ascii="Arial" w:hAnsi="Arial"/>
                <w:color w:val="000000" w:themeColor="text1"/>
                <w:sz w:val="22"/>
                <w:szCs w:val="22"/>
                <w:lang w:val="en-GB"/>
              </w:rPr>
              <w:t>26.02.2023</w:t>
            </w:r>
          </w:p>
        </w:tc>
      </w:tr>
      <w:tr>
        <w:trPr>
          <w:trHeight w:val="620" w:hRule="atLeast"/>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434" w:leader="none"/>
              </w:tabs>
              <w:spacing w:before="120" w:after="120"/>
              <w:rPr>
                <w:rFonts w:ascii="Arial" w:hAnsi="Arial" w:eastAsia="Times New Roman" w:cs="Arial"/>
                <w:b/>
                <w:b/>
                <w:sz w:val="22"/>
                <w:szCs w:val="22"/>
                <w:lang w:val="en-GB"/>
              </w:rPr>
            </w:pPr>
            <w:r>
              <w:rPr>
                <w:rFonts w:eastAsia="Times New Roman" w:cs="Arial" w:ascii="Arial" w:hAnsi="Arial"/>
                <w:b/>
                <w:sz w:val="22"/>
                <w:szCs w:val="22"/>
                <w:lang w:val="en-GB"/>
              </w:rPr>
              <w:t>ITT10.1</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254" w:leader="none"/>
              </w:tabs>
              <w:spacing w:before="120" w:after="120"/>
              <w:rPr>
                <w:rFonts w:ascii="Arial" w:hAnsi="Arial" w:eastAsia="Times New Roman" w:cs="Arial"/>
                <w:sz w:val="22"/>
                <w:szCs w:val="22"/>
                <w:lang w:val="en-GB"/>
              </w:rPr>
            </w:pPr>
            <w:r>
              <w:rPr>
                <w:rFonts w:eastAsia="Times New Roman" w:cs="Arial" w:ascii="Arial" w:hAnsi="Arial"/>
                <w:sz w:val="22"/>
                <w:szCs w:val="22"/>
                <w:lang w:val="en-GB"/>
              </w:rPr>
              <w:t>A Pre- Tender meeting shall be held on 26.02.2023 at 04:00 PM</w:t>
            </w:r>
          </w:p>
        </w:tc>
      </w:tr>
      <w:tr>
        <w:trPr>
          <w:trHeight w:val="520" w:hRule="atLeast"/>
        </w:trPr>
        <w:tc>
          <w:tcPr>
            <w:tcW w:w="9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Heading2"/>
              <w:widowControl w:val="false"/>
              <w:spacing w:before="120" w:after="120"/>
              <w:rPr>
                <w:rFonts w:ascii="Arial" w:hAnsi="Arial" w:eastAsia="Times New Roman"/>
                <w:lang w:val="en-GB"/>
              </w:rPr>
            </w:pPr>
            <w:bookmarkStart w:id="434" w:name="_Toc421454270"/>
            <w:bookmarkStart w:id="435" w:name="_Toc49504250"/>
            <w:bookmarkStart w:id="436" w:name="_Toc49591732"/>
            <w:bookmarkStart w:id="437" w:name="_Toc49504803"/>
            <w:bookmarkStart w:id="438" w:name="_Toc49569822"/>
            <w:bookmarkStart w:id="439" w:name="_Toc49591384"/>
            <w:bookmarkStart w:id="440" w:name="_Toc49504684"/>
            <w:r>
              <w:rPr>
                <w:rFonts w:eastAsia="Times New Roman" w:ascii="Arial" w:hAnsi="Arial"/>
                <w:lang w:val="en-GB"/>
              </w:rPr>
              <w:t>C.</w:t>
              <w:tab/>
              <w:t xml:space="preserve">Qualification </w:t>
            </w:r>
            <w:bookmarkEnd w:id="435"/>
            <w:bookmarkEnd w:id="436"/>
            <w:bookmarkEnd w:id="437"/>
            <w:bookmarkEnd w:id="438"/>
            <w:bookmarkEnd w:id="439"/>
            <w:bookmarkEnd w:id="440"/>
            <w:r>
              <w:rPr>
                <w:rFonts w:eastAsia="Times New Roman" w:ascii="Arial" w:hAnsi="Arial"/>
                <w:lang w:val="en-GB"/>
              </w:rPr>
              <w:t>Criteria</w:t>
            </w:r>
            <w:bookmarkEnd w:id="434"/>
          </w:p>
        </w:tc>
      </w:tr>
      <w:tr>
        <w:trPr>
          <w:trHeight w:val="578" w:hRule="atLeast"/>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120"/>
              <w:rPr>
                <w:rFonts w:ascii="Arial" w:hAnsi="Arial" w:eastAsia="Times New Roman" w:cs="Arial"/>
                <w:b/>
                <w:b/>
                <w:bCs/>
                <w:sz w:val="22"/>
                <w:szCs w:val="22"/>
                <w:lang w:val="en-GB"/>
              </w:rPr>
            </w:pPr>
            <w:r>
              <w:rPr>
                <w:rFonts w:eastAsia="Times New Roman" w:cs="Arial" w:ascii="Arial" w:hAnsi="Arial"/>
                <w:b/>
                <w:bCs/>
                <w:sz w:val="22"/>
                <w:szCs w:val="22"/>
                <w:lang w:val="en-GB"/>
              </w:rPr>
              <w:t>ITT 14.1(a)</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left" w:pos="540" w:leader="none"/>
              </w:tabs>
              <w:suppressAutoHyphens w:val="true"/>
              <w:spacing w:before="120" w:after="120"/>
              <w:ind w:right="-74" w:hanging="0"/>
              <w:jc w:val="both"/>
              <w:rPr>
                <w:rFonts w:ascii="Arial" w:hAnsi="Arial" w:eastAsia="Times New Roman" w:cs="Arial"/>
                <w:bCs/>
                <w:sz w:val="22"/>
                <w:szCs w:val="22"/>
                <w:lang w:val="en-GB"/>
              </w:rPr>
            </w:pPr>
            <w:r>
              <w:rPr>
                <w:rFonts w:eastAsia="Times New Roman" w:cs="Arial" w:ascii="Arial" w:hAnsi="Arial"/>
                <w:bCs/>
                <w:sz w:val="22"/>
                <w:szCs w:val="22"/>
                <w:lang w:val="en-GB"/>
              </w:rPr>
              <w:t xml:space="preserve">The minimum of years of general experience of the Tenderer in the supply of Goods and related services as Supplier shall be </w:t>
            </w:r>
            <w:r>
              <w:rPr>
                <w:rFonts w:eastAsia="Times New Roman" w:cs="Arial" w:ascii="Arial" w:hAnsi="Arial"/>
                <w:i w:val="false"/>
                <w:iCs w:val="false"/>
                <w:sz w:val="22"/>
                <w:szCs w:val="22"/>
                <w:lang w:val="en-GB"/>
              </w:rPr>
              <w:t>5 (five) r</w:t>
            </w:r>
            <w:r>
              <w:rPr>
                <w:rFonts w:eastAsia="Times New Roman" w:cs="Arial" w:ascii="Arial" w:hAnsi="Arial"/>
                <w:sz w:val="21"/>
                <w:szCs w:val="21"/>
                <w:lang w:val="en-GB"/>
              </w:rPr>
              <w:t>ecent years from the tender closing date.</w:t>
            </w:r>
          </w:p>
        </w:tc>
      </w:tr>
      <w:tr>
        <w:trPr>
          <w:trHeight w:val="1007" w:hRule="atLeast"/>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120"/>
              <w:rPr>
                <w:rFonts w:ascii="Arial" w:hAnsi="Arial" w:eastAsia="Times New Roman" w:cs="Arial"/>
                <w:b/>
                <w:b/>
                <w:bCs/>
                <w:sz w:val="22"/>
                <w:szCs w:val="22"/>
                <w:lang w:val="en-GB"/>
              </w:rPr>
            </w:pPr>
            <w:r>
              <w:rPr>
                <w:rFonts w:eastAsia="Times New Roman" w:cs="Arial" w:ascii="Arial" w:hAnsi="Arial"/>
                <w:b/>
                <w:bCs/>
                <w:sz w:val="22"/>
                <w:szCs w:val="22"/>
                <w:lang w:val="en-GB"/>
              </w:rPr>
              <w:t>ITT 14.1(b)</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widowControl w:val="false"/>
              <w:spacing w:before="60" w:after="60"/>
              <w:jc w:val="both"/>
              <w:rPr>
                <w:rFonts w:ascii="Arial" w:hAnsi="Arial" w:eastAsia="Times New Roman" w:cs="Arial"/>
                <w:bCs/>
                <w:sz w:val="22"/>
                <w:szCs w:val="22"/>
                <w:lang w:val="en-GB"/>
              </w:rPr>
            </w:pPr>
            <w:r>
              <w:rPr>
                <w:rFonts w:eastAsia="Times New Roman" w:cs="Arial" w:ascii="Arial" w:hAnsi="Arial"/>
                <w:bCs/>
                <w:sz w:val="22"/>
                <w:szCs w:val="22"/>
                <w:lang w:val="en-GB"/>
              </w:rPr>
              <w:t xml:space="preserve">The </w:t>
            </w:r>
            <w:r>
              <w:rPr>
                <w:rFonts w:eastAsia="Times New Roman" w:cs="Arial" w:ascii="Arial" w:hAnsi="Arial"/>
                <w:sz w:val="21"/>
                <w:szCs w:val="21"/>
                <w:lang w:val="en-GB"/>
              </w:rPr>
              <w:t>minimum s</w:t>
            </w:r>
            <w:r>
              <w:rPr>
                <w:rFonts w:eastAsia="Times New Roman" w:cs="Arial" w:ascii="Arial" w:hAnsi="Arial"/>
                <w:bCs/>
                <w:sz w:val="21"/>
                <w:szCs w:val="21"/>
                <w:lang w:val="en-GB"/>
              </w:rPr>
              <w:t>pecific experience as Supplier in</w:t>
            </w:r>
            <w:r>
              <w:rPr>
                <w:rFonts w:eastAsia="Times New Roman" w:cs="Arial" w:ascii="Arial" w:hAnsi="Arial"/>
                <w:bCs/>
                <w:sz w:val="22"/>
                <w:szCs w:val="22"/>
                <w:lang w:val="en-GB"/>
              </w:rPr>
              <w:t xml:space="preserve"> supply of similar Goods of </w:t>
            </w:r>
            <w:r>
              <w:rPr>
                <w:rFonts w:eastAsia="Times New Roman" w:cs="Arial" w:ascii="Arial" w:hAnsi="Arial"/>
                <w:bCs/>
                <w:sz w:val="21"/>
                <w:szCs w:val="21"/>
                <w:lang w:val="en-GB"/>
              </w:rPr>
              <w:t xml:space="preserve">at least </w:t>
            </w:r>
            <w:r>
              <w:rPr>
                <w:rFonts w:eastAsia="Times New Roman" w:cs="Arial" w:ascii="Arial" w:hAnsi="Arial"/>
                <w:bCs/>
                <w:i/>
                <w:iCs/>
                <w:sz w:val="21"/>
                <w:szCs w:val="21"/>
                <w:lang w:val="en-GB"/>
              </w:rPr>
              <w:t>01</w:t>
            </w:r>
            <w:r>
              <w:rPr>
                <w:rFonts w:eastAsia="Times New Roman" w:cs="Arial" w:ascii="Arial" w:hAnsi="Arial"/>
                <w:bCs/>
                <w:sz w:val="21"/>
                <w:szCs w:val="21"/>
                <w:lang w:val="en-GB"/>
              </w:rPr>
              <w:t xml:space="preserve"> contract(s) successfully completed within the last </w:t>
            </w:r>
            <w:r>
              <w:rPr>
                <w:rFonts w:eastAsia="Times New Roman" w:cs="Arial" w:ascii="Arial" w:hAnsi="Arial"/>
                <w:bCs/>
                <w:i/>
                <w:iCs/>
                <w:sz w:val="21"/>
                <w:szCs w:val="21"/>
                <w:lang w:val="en-GB"/>
              </w:rPr>
              <w:t xml:space="preserve">5 </w:t>
            </w:r>
            <w:r>
              <w:rPr>
                <w:rFonts w:eastAsia="Times New Roman" w:cs="Arial" w:ascii="Arial" w:hAnsi="Arial"/>
                <w:bCs/>
                <w:sz w:val="21"/>
                <w:szCs w:val="21"/>
                <w:lang w:val="en-GB"/>
              </w:rPr>
              <w:t>years, with a value at least BDT 14 lacs for lot-1 and  BDT 28 lacs for Lot-2.</w:t>
            </w:r>
          </w:p>
        </w:tc>
      </w:tr>
      <w:tr>
        <w:trPr>
          <w:trHeight w:val="578" w:hRule="atLeast"/>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120"/>
              <w:rPr>
                <w:rFonts w:ascii="Arial" w:hAnsi="Arial" w:eastAsia="Times New Roman" w:cs="Arial"/>
                <w:b/>
                <w:b/>
                <w:bCs/>
                <w:sz w:val="22"/>
                <w:szCs w:val="22"/>
                <w:lang w:val="en-GB"/>
              </w:rPr>
            </w:pPr>
            <w:r>
              <w:rPr>
                <w:rFonts w:eastAsia="Times New Roman" w:cs="Arial" w:ascii="Arial" w:hAnsi="Arial"/>
                <w:b/>
                <w:bCs/>
                <w:sz w:val="22"/>
                <w:szCs w:val="22"/>
                <w:lang w:val="en-GB"/>
              </w:rPr>
              <w:t>ITT 14.1(c)</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left" w:pos="540" w:leader="none"/>
              </w:tabs>
              <w:suppressAutoHyphens w:val="true"/>
              <w:spacing w:before="120" w:after="120"/>
              <w:ind w:right="-74" w:hanging="0"/>
              <w:jc w:val="both"/>
              <w:rPr>
                <w:rFonts w:ascii="Arial" w:hAnsi="Arial" w:eastAsia="Times New Roman" w:cs="Arial"/>
                <w:bCs/>
                <w:sz w:val="22"/>
                <w:szCs w:val="22"/>
                <w:lang w:val="en-GB"/>
              </w:rPr>
            </w:pPr>
            <w:r>
              <w:rPr>
                <w:rFonts w:eastAsia="Times New Roman" w:cs="Arial" w:ascii="Arial" w:hAnsi="Arial"/>
                <w:bCs/>
                <w:sz w:val="22"/>
                <w:szCs w:val="22"/>
                <w:lang w:val="en-GB"/>
              </w:rPr>
              <w:t>The minimum supply and/or production capacity of Goods  is/ are:</w:t>
            </w:r>
          </w:p>
          <w:p>
            <w:pPr>
              <w:pStyle w:val="Normal"/>
              <w:widowControl w:val="false"/>
              <w:tabs>
                <w:tab w:val="clear" w:pos="720"/>
                <w:tab w:val="left" w:pos="540" w:leader="none"/>
              </w:tabs>
              <w:suppressAutoHyphens w:val="true"/>
              <w:spacing w:before="120" w:after="120"/>
              <w:ind w:right="-74" w:hanging="0"/>
              <w:jc w:val="both"/>
              <w:rPr>
                <w:rFonts w:ascii="Arial" w:hAnsi="Arial" w:eastAsia="Times New Roman" w:cs="Arial"/>
                <w:bCs/>
                <w:i/>
                <w:i/>
                <w:iCs/>
                <w:sz w:val="22"/>
                <w:szCs w:val="22"/>
                <w:lang w:val="en-GB"/>
              </w:rPr>
            </w:pPr>
            <w:r>
              <w:rPr>
                <w:rFonts w:eastAsia="Times New Roman" w:cs="Arial" w:ascii="Arial" w:hAnsi="Arial"/>
                <w:bCs/>
                <w:i/>
                <w:sz w:val="22"/>
                <w:szCs w:val="22"/>
                <w:lang w:val="en-GB"/>
              </w:rPr>
              <w:t>None</w:t>
            </w:r>
          </w:p>
        </w:tc>
      </w:tr>
      <w:tr>
        <w:trPr>
          <w:trHeight w:val="903" w:hRule="atLeast"/>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120"/>
              <w:rPr>
                <w:rFonts w:ascii="Arial" w:hAnsi="Arial" w:eastAsia="Times New Roman" w:cs="Arial"/>
                <w:b/>
                <w:b/>
                <w:bCs/>
                <w:sz w:val="22"/>
                <w:szCs w:val="22"/>
                <w:lang w:val="en-GB"/>
              </w:rPr>
            </w:pPr>
            <w:r>
              <w:rPr>
                <w:rFonts w:eastAsia="Times New Roman" w:cs="Arial" w:ascii="Arial" w:hAnsi="Arial"/>
                <w:b/>
                <w:bCs/>
                <w:sz w:val="22"/>
                <w:szCs w:val="22"/>
                <w:lang w:val="en-GB"/>
              </w:rPr>
              <w:t>ITT 15.1(a)</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widowControl w:val="false"/>
              <w:tabs>
                <w:tab w:val="clear" w:pos="720"/>
                <w:tab w:val="left" w:pos="1080" w:leader="none"/>
              </w:tabs>
              <w:spacing w:before="60" w:after="60"/>
              <w:ind w:right="-72" w:hanging="0"/>
              <w:jc w:val="both"/>
              <w:rPr>
                <w:rFonts w:ascii="Arial" w:hAnsi="Arial" w:eastAsia="Times New Roman" w:cs="Arial"/>
                <w:i/>
                <w:i/>
                <w:sz w:val="22"/>
                <w:szCs w:val="22"/>
                <w:lang w:val="en-GB"/>
              </w:rPr>
            </w:pPr>
            <w:r>
              <w:rPr>
                <w:rFonts w:eastAsia="Times New Roman" w:cs="Arial" w:ascii="Arial" w:hAnsi="Arial"/>
                <w:sz w:val="22"/>
                <w:szCs w:val="22"/>
                <w:lang w:val="en-GB"/>
              </w:rPr>
              <w:t>The minimum amount of liquid assets i.e working capital or credit line(s) of the  Tenderer shall be same of the estimated cost in the every lot.</w:t>
            </w:r>
          </w:p>
        </w:tc>
      </w:tr>
      <w:tr>
        <w:trPr>
          <w:trHeight w:val="439" w:hRule="atLeast"/>
        </w:trPr>
        <w:tc>
          <w:tcPr>
            <w:tcW w:w="9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Heading2"/>
              <w:widowControl w:val="false"/>
              <w:spacing w:before="120" w:after="120"/>
              <w:rPr>
                <w:rFonts w:ascii="Arial" w:hAnsi="Arial" w:eastAsia="Times New Roman"/>
                <w:lang w:val="en-GB"/>
              </w:rPr>
            </w:pPr>
            <w:bookmarkStart w:id="441" w:name="_Toc49591733"/>
            <w:bookmarkStart w:id="442" w:name="_Toc49504685"/>
            <w:bookmarkStart w:id="443" w:name="_Toc505659531"/>
            <w:bookmarkStart w:id="444" w:name="_Toc506185679"/>
            <w:bookmarkStart w:id="445" w:name="_Toc37047321"/>
            <w:bookmarkStart w:id="446" w:name="_Toc49504251"/>
            <w:bookmarkStart w:id="447" w:name="_Toc49591385"/>
            <w:bookmarkStart w:id="448" w:name="_Toc421454271"/>
            <w:bookmarkStart w:id="449" w:name="_Toc49504804"/>
            <w:bookmarkStart w:id="450" w:name="_Toc49569823"/>
            <w:r>
              <w:rPr>
                <w:rFonts w:eastAsia="Times New Roman" w:ascii="Arial" w:hAnsi="Arial"/>
                <w:lang w:val="en-GB"/>
              </w:rPr>
              <w:t>D.</w:t>
              <w:tab/>
              <w:t>Preparation of Tender</w:t>
            </w:r>
            <w:bookmarkEnd w:id="441"/>
            <w:bookmarkEnd w:id="442"/>
            <w:bookmarkEnd w:id="443"/>
            <w:bookmarkEnd w:id="444"/>
            <w:bookmarkEnd w:id="445"/>
            <w:bookmarkEnd w:id="446"/>
            <w:bookmarkEnd w:id="447"/>
            <w:bookmarkEnd w:id="448"/>
            <w:bookmarkEnd w:id="449"/>
            <w:bookmarkEnd w:id="450"/>
          </w:p>
        </w:tc>
      </w:tr>
      <w:tr>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434" w:leader="none"/>
              </w:tabs>
              <w:spacing w:before="120" w:after="120"/>
              <w:rPr>
                <w:rFonts w:ascii="Arial" w:hAnsi="Arial" w:eastAsia="Times New Roman" w:cs="Arial"/>
                <w:sz w:val="22"/>
                <w:szCs w:val="22"/>
                <w:lang w:val="en-GB"/>
              </w:rPr>
            </w:pPr>
            <w:r>
              <w:rPr>
                <w:rFonts w:eastAsia="Times New Roman" w:cs="Arial" w:ascii="Arial" w:hAnsi="Arial"/>
                <w:b/>
                <w:sz w:val="22"/>
                <w:szCs w:val="22"/>
                <w:lang w:val="en-GB"/>
              </w:rPr>
              <w:t>ITT21.1(l)</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254" w:leader="none"/>
              </w:tabs>
              <w:spacing w:before="120" w:after="120"/>
              <w:jc w:val="both"/>
              <w:rPr>
                <w:rFonts w:ascii="Arial" w:hAnsi="Arial" w:eastAsia="Times New Roman" w:cs="Arial"/>
                <w:i/>
                <w:i/>
                <w:iCs/>
                <w:sz w:val="18"/>
                <w:szCs w:val="18"/>
                <w:lang w:val="en-GB"/>
              </w:rPr>
            </w:pPr>
            <w:r>
              <w:rPr>
                <w:rFonts w:eastAsia="Times New Roman" w:cs="Arial" w:ascii="Arial" w:hAnsi="Arial"/>
                <w:i/>
                <w:iCs/>
                <w:sz w:val="18"/>
                <w:szCs w:val="18"/>
                <w:lang w:val="en-GB"/>
              </w:rPr>
              <w:t>The Tenderer must submit the following additional documents with its Tender:</w:t>
            </w:r>
          </w:p>
          <w:p>
            <w:pPr>
              <w:pStyle w:val="Normal"/>
              <w:widowControl w:val="false"/>
              <w:tabs>
                <w:tab w:val="clear" w:pos="720"/>
                <w:tab w:val="right" w:pos="7254" w:leader="none"/>
              </w:tabs>
              <w:spacing w:before="120" w:after="120"/>
              <w:jc w:val="both"/>
              <w:rPr>
                <w:rFonts w:ascii="Arial" w:hAnsi="Arial" w:eastAsia="Times New Roman" w:cs="Arial"/>
                <w:i/>
                <w:i/>
                <w:iCs/>
                <w:sz w:val="18"/>
                <w:szCs w:val="18"/>
                <w:lang w:val="en-GB"/>
              </w:rPr>
            </w:pPr>
            <w:r>
              <w:rPr>
                <w:rFonts w:eastAsia="Times New Roman" w:cs="Arial" w:ascii="Arial" w:hAnsi="Arial"/>
                <w:i/>
                <w:iCs/>
                <w:sz w:val="18"/>
                <w:szCs w:val="18"/>
                <w:lang w:val="en-GB"/>
              </w:rPr>
              <w:t>(i) Up to date Trade License (up to 2022)</w:t>
            </w:r>
          </w:p>
          <w:p>
            <w:pPr>
              <w:pStyle w:val="Normal"/>
              <w:widowControl w:val="false"/>
              <w:tabs>
                <w:tab w:val="clear" w:pos="720"/>
                <w:tab w:val="right" w:pos="7254" w:leader="none"/>
              </w:tabs>
              <w:spacing w:before="120" w:after="120"/>
              <w:jc w:val="both"/>
              <w:rPr>
                <w:rFonts w:ascii="Arial" w:hAnsi="Arial" w:eastAsia="Times New Roman" w:cs="Arial"/>
                <w:i/>
                <w:i/>
                <w:iCs/>
                <w:sz w:val="18"/>
                <w:szCs w:val="18"/>
                <w:lang w:val="en-GB"/>
              </w:rPr>
            </w:pPr>
            <w:r>
              <w:rPr>
                <w:rFonts w:eastAsia="Times New Roman" w:cs="Arial" w:ascii="Arial" w:hAnsi="Arial"/>
                <w:i/>
                <w:iCs/>
                <w:sz w:val="18"/>
                <w:szCs w:val="18"/>
                <w:lang w:val="en-GB"/>
              </w:rPr>
              <w:t>(ii) Up to date VAT Registration Certificate (up to 2022)</w:t>
            </w:r>
          </w:p>
          <w:p>
            <w:pPr>
              <w:pStyle w:val="Normal"/>
              <w:widowControl w:val="false"/>
              <w:tabs>
                <w:tab w:val="clear" w:pos="720"/>
                <w:tab w:val="right" w:pos="7254" w:leader="none"/>
              </w:tabs>
              <w:spacing w:before="120" w:after="120"/>
              <w:jc w:val="both"/>
              <w:rPr>
                <w:rFonts w:ascii="Arial" w:hAnsi="Arial" w:eastAsia="Times New Roman" w:cs="Arial"/>
                <w:i/>
                <w:i/>
                <w:iCs/>
                <w:sz w:val="18"/>
                <w:szCs w:val="18"/>
                <w:lang w:val="en-GB"/>
              </w:rPr>
            </w:pPr>
            <w:r>
              <w:rPr>
                <w:rFonts w:eastAsia="Times New Roman" w:cs="Arial" w:ascii="Arial" w:hAnsi="Arial"/>
                <w:i/>
                <w:iCs/>
                <w:sz w:val="18"/>
                <w:szCs w:val="18"/>
                <w:lang w:val="en-GB"/>
              </w:rPr>
              <w:t>(iii) Up to date Income Tax Clearance Certificate (2021-2022)</w:t>
            </w:r>
          </w:p>
          <w:p>
            <w:pPr>
              <w:pStyle w:val="Normal"/>
              <w:widowControl w:val="false"/>
              <w:tabs>
                <w:tab w:val="clear" w:pos="720"/>
                <w:tab w:val="right" w:pos="7254" w:leader="none"/>
              </w:tabs>
              <w:spacing w:before="120" w:after="120"/>
              <w:jc w:val="both"/>
              <w:rPr>
                <w:rFonts w:ascii="Arial" w:hAnsi="Arial" w:eastAsia="Times New Roman" w:cs="Arial"/>
                <w:i/>
                <w:i/>
                <w:iCs/>
                <w:color w:val="FF0000"/>
                <w:sz w:val="18"/>
                <w:szCs w:val="18"/>
                <w:lang w:val="en-GB"/>
              </w:rPr>
            </w:pPr>
            <w:r>
              <w:rPr>
                <w:rFonts w:eastAsia="Times New Roman" w:cs="Arial" w:ascii="Arial" w:hAnsi="Arial"/>
                <w:i/>
                <w:iCs/>
                <w:color w:val="FF0000"/>
                <w:sz w:val="18"/>
                <w:szCs w:val="18"/>
                <w:lang w:val="en-GB"/>
              </w:rPr>
              <w:t>(iv) The minimum specific experience as reputed supplier for same goods of at least one (1) contract successfully completed within the last 5 years, with same value of the estimated cost. Must provide the experience / task completion certificate.</w:t>
            </w:r>
          </w:p>
          <w:p>
            <w:pPr>
              <w:pStyle w:val="Normal"/>
              <w:widowControl w:val="false"/>
              <w:tabs>
                <w:tab w:val="clear" w:pos="720"/>
                <w:tab w:val="right" w:pos="7254" w:leader="none"/>
              </w:tabs>
              <w:spacing w:before="120" w:after="120"/>
              <w:jc w:val="both"/>
              <w:rPr>
                <w:rFonts w:ascii="Arial" w:hAnsi="Arial" w:eastAsia="Times New Roman" w:cs="Arial"/>
                <w:i/>
                <w:i/>
                <w:iCs/>
                <w:sz w:val="18"/>
                <w:szCs w:val="18"/>
                <w:lang w:val="en-GB"/>
              </w:rPr>
            </w:pPr>
            <w:r>
              <w:rPr>
                <w:rFonts w:eastAsia="Times New Roman" w:cs="Arial" w:ascii="Arial" w:hAnsi="Arial"/>
                <w:i/>
                <w:iCs/>
                <w:sz w:val="18"/>
                <w:szCs w:val="18"/>
                <w:lang w:val="en-GB"/>
              </w:rPr>
              <w:t xml:space="preserve"> </w:t>
            </w:r>
            <w:r>
              <w:rPr>
                <w:rFonts w:eastAsia="Times New Roman" w:cs="Arial" w:ascii="Arial" w:hAnsi="Arial"/>
                <w:i/>
                <w:iCs/>
                <w:sz w:val="18"/>
                <w:szCs w:val="18"/>
                <w:lang w:val="en-GB"/>
              </w:rPr>
              <w:t>(v) Bank solvency Certificate</w:t>
            </w:r>
          </w:p>
          <w:p>
            <w:pPr>
              <w:pStyle w:val="Normal"/>
              <w:widowControl w:val="false"/>
              <w:tabs>
                <w:tab w:val="clear" w:pos="720"/>
                <w:tab w:val="right" w:pos="7254" w:leader="none"/>
              </w:tabs>
              <w:spacing w:before="120" w:after="120"/>
              <w:jc w:val="both"/>
              <w:rPr>
                <w:rFonts w:ascii="Arial" w:hAnsi="Arial" w:eastAsia="Times New Roman" w:cs="Arial"/>
                <w:i/>
                <w:i/>
                <w:iCs/>
                <w:sz w:val="18"/>
                <w:szCs w:val="18"/>
                <w:lang w:val="en-GB"/>
              </w:rPr>
            </w:pPr>
            <w:r>
              <w:rPr>
                <w:rFonts w:eastAsia="Times New Roman" w:cs="Arial" w:ascii="Arial" w:hAnsi="Arial"/>
                <w:i/>
                <w:iCs/>
                <w:sz w:val="18"/>
                <w:szCs w:val="18"/>
                <w:lang w:val="en-GB"/>
              </w:rPr>
              <w:t>(vi) Tenderer must be owner of the firm. If the tenderer is the Representative of the firm then he/she will be authorized by the owner of the Firm (signature with name and seal of the owner)</w:t>
            </w:r>
          </w:p>
          <w:p>
            <w:pPr>
              <w:pStyle w:val="Normal"/>
              <w:widowControl w:val="false"/>
              <w:tabs>
                <w:tab w:val="clear" w:pos="720"/>
                <w:tab w:val="right" w:pos="7254" w:leader="none"/>
              </w:tabs>
              <w:spacing w:before="120" w:after="120"/>
              <w:jc w:val="both"/>
              <w:rPr>
                <w:rFonts w:ascii="Arial" w:hAnsi="Arial" w:eastAsia="Times New Roman" w:cs="Arial"/>
                <w:i/>
                <w:i/>
                <w:iCs/>
                <w:color w:val="FF0000"/>
                <w:sz w:val="18"/>
                <w:szCs w:val="18"/>
                <w:lang w:val="en-GB"/>
              </w:rPr>
            </w:pPr>
            <w:r>
              <w:rPr>
                <w:rFonts w:eastAsia="Times New Roman" w:cs="Arial" w:ascii="Arial" w:hAnsi="Arial"/>
                <w:i/>
                <w:iCs/>
                <w:color w:val="FF0000"/>
                <w:sz w:val="18"/>
                <w:szCs w:val="18"/>
                <w:lang w:val="en-GB"/>
              </w:rPr>
              <w:t xml:space="preserve"> </w:t>
            </w:r>
            <w:r>
              <w:rPr>
                <w:rFonts w:eastAsia="Times New Roman" w:cs="Arial" w:ascii="Arial" w:hAnsi="Arial"/>
                <w:i/>
                <w:iCs/>
                <w:color w:val="FF0000"/>
                <w:sz w:val="18"/>
                <w:szCs w:val="18"/>
                <w:lang w:val="en-GB"/>
              </w:rPr>
              <w:t>(vii) Supplier must be an authorized agent/partner in Bangladesh by the manufacturer of the items and MUST HAVE technical service and support centre with qualified engineers to resolve the technical issues quickly. Proof of such agency-ship and list of engineers at the technical support centre for the quoted models must be submitted with the quotation.</w:t>
            </w:r>
          </w:p>
        </w:tc>
      </w:tr>
      <w:tr>
        <w:trPr>
          <w:trHeight w:val="548" w:hRule="atLeast"/>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434" w:leader="none"/>
              </w:tabs>
              <w:spacing w:before="120" w:after="120"/>
              <w:rPr>
                <w:rFonts w:ascii="Arial" w:hAnsi="Arial" w:eastAsia="Times New Roman" w:cs="Arial"/>
                <w:b/>
                <w:b/>
                <w:sz w:val="22"/>
                <w:szCs w:val="22"/>
                <w:lang w:val="en-GB"/>
              </w:rPr>
            </w:pPr>
            <w:r>
              <w:rPr>
                <w:rFonts w:eastAsia="Times New Roman" w:cs="Arial" w:ascii="Arial" w:hAnsi="Arial"/>
                <w:b/>
                <w:sz w:val="22"/>
                <w:szCs w:val="22"/>
                <w:lang w:val="en-GB"/>
              </w:rPr>
              <w:t>ITT23.1</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254" w:leader="none"/>
              </w:tabs>
              <w:spacing w:before="120" w:after="120"/>
              <w:jc w:val="both"/>
              <w:rPr>
                <w:rFonts w:ascii="Arial" w:hAnsi="Arial" w:eastAsia="Times New Roman" w:cs="Arial"/>
                <w:sz w:val="22"/>
                <w:szCs w:val="22"/>
                <w:lang w:val="en-GB"/>
              </w:rPr>
            </w:pPr>
            <w:r>
              <w:rPr>
                <w:rFonts w:eastAsia="Times New Roman" w:cs="Arial" w:ascii="Arial" w:hAnsi="Arial"/>
                <w:sz w:val="22"/>
                <w:szCs w:val="22"/>
                <w:lang w:val="en-GB"/>
              </w:rPr>
              <w:t>Alternatives will not be permitted.</w:t>
            </w:r>
          </w:p>
        </w:tc>
      </w:tr>
      <w:tr>
        <w:trPr>
          <w:trHeight w:val="602" w:hRule="atLeast"/>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434" w:leader="none"/>
              </w:tabs>
              <w:spacing w:before="120" w:after="120"/>
              <w:rPr>
                <w:rFonts w:ascii="Arial" w:hAnsi="Arial" w:eastAsia="Times New Roman" w:cs="Arial"/>
                <w:b/>
                <w:b/>
                <w:sz w:val="22"/>
                <w:szCs w:val="22"/>
                <w:lang w:val="en-GB"/>
              </w:rPr>
            </w:pPr>
            <w:r>
              <w:rPr>
                <w:rFonts w:eastAsia="Times New Roman" w:cs="Arial" w:ascii="Arial" w:hAnsi="Arial"/>
                <w:b/>
                <w:sz w:val="22"/>
                <w:szCs w:val="22"/>
                <w:lang w:val="en-GB"/>
              </w:rPr>
              <w:t>ITT24.3</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IChar"/>
              <w:widowControl w:val="false"/>
              <w:tabs>
                <w:tab w:val="clear" w:pos="720"/>
                <w:tab w:val="right" w:pos="7254" w:leader="none"/>
              </w:tabs>
              <w:suppressAutoHyphens w:val="false"/>
              <w:spacing w:before="120" w:after="120"/>
              <w:rPr>
                <w:rFonts w:ascii="Arial" w:hAnsi="Arial" w:eastAsia="Times New Roman" w:cs="Arial"/>
                <w:sz w:val="22"/>
                <w:szCs w:val="22"/>
                <w:lang w:val="en-GB"/>
              </w:rPr>
            </w:pPr>
            <w:r>
              <w:rPr>
                <w:rFonts w:eastAsia="Times New Roman" w:cs="Arial" w:ascii="Arial" w:hAnsi="Arial"/>
                <w:sz w:val="22"/>
                <w:szCs w:val="22"/>
                <w:lang w:val="en-GB"/>
              </w:rPr>
              <w:t>Tenders are being invited for a number of lots on “lot-by-lot” basis.</w:t>
            </w:r>
          </w:p>
        </w:tc>
      </w:tr>
      <w:tr>
        <w:trPr>
          <w:trHeight w:val="638" w:hRule="atLeast"/>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434" w:leader="none"/>
              </w:tabs>
              <w:spacing w:before="120" w:after="120"/>
              <w:rPr>
                <w:rFonts w:ascii="Arial" w:hAnsi="Arial" w:eastAsia="Times New Roman" w:cs="Arial"/>
                <w:b/>
                <w:b/>
                <w:sz w:val="22"/>
                <w:szCs w:val="22"/>
                <w:lang w:val="en-GB"/>
              </w:rPr>
            </w:pPr>
            <w:r>
              <w:rPr>
                <w:rFonts w:eastAsia="Times New Roman" w:cs="Arial" w:ascii="Arial" w:hAnsi="Arial"/>
                <w:b/>
                <w:sz w:val="22"/>
                <w:szCs w:val="22"/>
                <w:lang w:val="en-GB"/>
              </w:rPr>
              <w:t>ITT 24.6</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I"/>
              <w:keepNext w:val="true"/>
              <w:keepLines/>
              <w:widowControl w:val="false"/>
              <w:tabs>
                <w:tab w:val="clear" w:pos="720"/>
                <w:tab w:val="right" w:pos="7254" w:leader="none"/>
              </w:tabs>
              <w:suppressAutoHyphens w:val="false"/>
              <w:spacing w:before="60" w:after="60"/>
              <w:rPr>
                <w:rFonts w:ascii="Arial" w:hAnsi="Arial" w:cs="Arial"/>
                <w:sz w:val="21"/>
                <w:szCs w:val="22"/>
                <w:lang w:val="en-GB"/>
              </w:rPr>
            </w:pPr>
            <w:r>
              <w:rPr>
                <w:rFonts w:cs="Arial" w:ascii="Arial" w:hAnsi="Arial"/>
                <w:sz w:val="21"/>
                <w:szCs w:val="22"/>
                <w:lang w:val="en-GB"/>
              </w:rPr>
              <w:t xml:space="preserve">Price quoted for each lot shall correspond at least to </w:t>
            </w:r>
            <w:r>
              <w:rPr>
                <w:rFonts w:cs="Arial" w:ascii="Arial" w:hAnsi="Arial"/>
                <w:i/>
                <w:sz w:val="21"/>
                <w:szCs w:val="22"/>
                <w:lang w:val="en-GB"/>
              </w:rPr>
              <w:t>100%</w:t>
            </w:r>
            <w:r>
              <w:rPr>
                <w:rFonts w:cs="Arial" w:ascii="Arial" w:hAnsi="Arial"/>
                <w:sz w:val="21"/>
                <w:szCs w:val="22"/>
                <w:lang w:val="en-GB"/>
              </w:rPr>
              <w:t xml:space="preserve"> of the items specified for each lot and correspond at least to 80</w:t>
            </w:r>
            <w:r>
              <w:rPr>
                <w:rFonts w:cs="Arial" w:ascii="Arial" w:hAnsi="Arial"/>
                <w:i/>
                <w:sz w:val="21"/>
                <w:szCs w:val="22"/>
                <w:lang w:val="en-GB"/>
              </w:rPr>
              <w:t>%</w:t>
            </w:r>
            <w:r>
              <w:rPr>
                <w:rFonts w:cs="Arial" w:ascii="Arial" w:hAnsi="Arial"/>
                <w:sz w:val="21"/>
                <w:szCs w:val="22"/>
                <w:lang w:val="en-GB"/>
              </w:rPr>
              <w:t xml:space="preserve"> of the total lot value.</w:t>
            </w:r>
          </w:p>
        </w:tc>
      </w:tr>
      <w:tr>
        <w:trPr>
          <w:trHeight w:val="993" w:hRule="atLeast"/>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434" w:leader="none"/>
              </w:tabs>
              <w:spacing w:before="120" w:after="120"/>
              <w:rPr>
                <w:rFonts w:ascii="Arial" w:hAnsi="Arial" w:eastAsia="Times New Roman" w:cs="Arial"/>
                <w:b/>
                <w:b/>
                <w:sz w:val="22"/>
                <w:szCs w:val="22"/>
                <w:lang w:val="en-GB"/>
              </w:rPr>
            </w:pPr>
            <w:r>
              <w:rPr>
                <w:rFonts w:eastAsia="Times New Roman" w:cs="Arial" w:ascii="Arial" w:hAnsi="Arial"/>
                <w:b/>
                <w:sz w:val="22"/>
                <w:szCs w:val="22"/>
                <w:lang w:val="en-GB"/>
              </w:rPr>
              <w:t>ITT 24.8</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IChar"/>
              <w:keepNext w:val="true"/>
              <w:keepLines/>
              <w:widowControl w:val="false"/>
              <w:tabs>
                <w:tab w:val="clear" w:pos="720"/>
                <w:tab w:val="right" w:pos="7254" w:leader="none"/>
              </w:tabs>
              <w:suppressAutoHyphens w:val="false"/>
              <w:spacing w:before="60" w:after="60"/>
              <w:rPr>
                <w:rFonts w:ascii="Arial" w:hAnsi="Arial" w:eastAsia="Times New Roman" w:cs="Arial"/>
                <w:sz w:val="22"/>
                <w:szCs w:val="22"/>
                <w:lang w:val="en-GB"/>
              </w:rPr>
            </w:pPr>
            <w:r>
              <w:rPr>
                <w:rFonts w:eastAsia="Times New Roman" w:cs="Arial" w:ascii="Arial" w:hAnsi="Arial"/>
                <w:sz w:val="22"/>
                <w:szCs w:val="22"/>
                <w:lang w:val="en-GB"/>
              </w:rPr>
              <w:t>The price for the following particular item must be quoted by the Tenderers:</w:t>
            </w:r>
          </w:p>
          <w:p>
            <w:pPr>
              <w:pStyle w:val="Title"/>
              <w:widowControl w:val="false"/>
              <w:ind w:left="990" w:hanging="990"/>
              <w:jc w:val="both"/>
              <w:rPr>
                <w:rFonts w:ascii="Arial" w:hAnsi="Arial" w:cs="Arial"/>
                <w:b w:val="false"/>
                <w:b w:val="false"/>
                <w:sz w:val="22"/>
                <w:szCs w:val="32"/>
                <w:lang w:val="en-GB"/>
              </w:rPr>
            </w:pPr>
            <w:r>
              <w:rPr>
                <w:rFonts w:cs="Arial" w:ascii="Arial" w:hAnsi="Arial"/>
                <w:sz w:val="22"/>
                <w:szCs w:val="22"/>
                <w:lang w:val="en-GB"/>
              </w:rPr>
              <w:t xml:space="preserve">Lot 1 - </w:t>
            </w:r>
            <w:r>
              <w:rPr>
                <w:rFonts w:cs="Arial" w:ascii="Arial" w:hAnsi="Arial"/>
                <w:b w:val="false"/>
                <w:sz w:val="22"/>
                <w:szCs w:val="32"/>
                <w:lang w:val="en-GB"/>
              </w:rPr>
              <w:t>PVC/PET ID card printer with laminator &amp; Encoder, Registered lamination film (Hologram Patch Roll), Color Ribbon, Cleaning Kit</w:t>
            </w:r>
          </w:p>
          <w:p>
            <w:pPr>
              <w:pStyle w:val="Title"/>
              <w:widowControl w:val="false"/>
              <w:ind w:left="1080" w:hanging="1080"/>
              <w:jc w:val="both"/>
              <w:rPr>
                <w:rFonts w:ascii="Arial" w:hAnsi="Arial" w:cs="Arial"/>
                <w:b w:val="false"/>
                <w:b w:val="false"/>
                <w:sz w:val="22"/>
                <w:szCs w:val="32"/>
                <w:lang w:val="en-GB"/>
              </w:rPr>
            </w:pPr>
            <w:r>
              <w:rPr>
                <w:rFonts w:cs="Arial" w:ascii="Arial" w:hAnsi="Arial"/>
                <w:sz w:val="22"/>
                <w:szCs w:val="32"/>
                <w:lang w:val="en-GB"/>
              </w:rPr>
              <w:t>Lot 2 -</w:t>
            </w:r>
            <w:r>
              <w:rPr>
                <w:rFonts w:cs="Arial" w:ascii="Arial" w:hAnsi="Arial"/>
                <w:b w:val="false"/>
                <w:sz w:val="22"/>
                <w:szCs w:val="32"/>
                <w:lang w:val="en-GB"/>
              </w:rPr>
              <w:t xml:space="preserve">     Contactless NFC PVC Card (8K)</w:t>
            </w:r>
          </w:p>
        </w:tc>
      </w:tr>
      <w:tr>
        <w:trPr>
          <w:trHeight w:val="993" w:hRule="atLeast"/>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434" w:leader="none"/>
              </w:tabs>
              <w:spacing w:before="120" w:after="120"/>
              <w:rPr>
                <w:rFonts w:ascii="Arial" w:hAnsi="Arial" w:eastAsia="Times New Roman" w:cs="Arial"/>
                <w:b/>
                <w:b/>
                <w:sz w:val="22"/>
                <w:szCs w:val="22"/>
                <w:lang w:val="en-GB"/>
              </w:rPr>
            </w:pPr>
            <w:r>
              <w:rPr>
                <w:rFonts w:eastAsia="Times New Roman" w:cs="Arial" w:ascii="Arial" w:hAnsi="Arial"/>
                <w:b/>
                <w:sz w:val="22"/>
                <w:szCs w:val="22"/>
                <w:lang w:val="en-GB"/>
              </w:rPr>
              <w:t>ITT 28.1(e)</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IChar"/>
              <w:keepNext w:val="true"/>
              <w:widowControl w:val="false"/>
              <w:tabs>
                <w:tab w:val="clear" w:pos="720"/>
                <w:tab w:val="right" w:pos="7254" w:leader="none"/>
              </w:tabs>
              <w:suppressAutoHyphens w:val="false"/>
              <w:spacing w:before="60" w:after="60"/>
              <w:rPr>
                <w:rFonts w:ascii="Arial" w:hAnsi="Arial" w:eastAsia="Times New Roman" w:cs="Arial"/>
                <w:sz w:val="22"/>
                <w:szCs w:val="22"/>
                <w:lang w:val="en-GB"/>
              </w:rPr>
            </w:pPr>
            <w:r>
              <w:rPr>
                <w:rFonts w:eastAsia="Times New Roman" w:cs="Arial" w:ascii="Arial" w:hAnsi="Arial"/>
                <w:sz w:val="22"/>
                <w:szCs w:val="22"/>
                <w:lang w:val="en-GB"/>
              </w:rPr>
              <w:t>The required information regarding claims under litigation shall be current or during the last 3 years.</w:t>
            </w:r>
          </w:p>
          <w:p>
            <w:pPr>
              <w:pStyle w:val="IChar"/>
              <w:keepNext w:val="true"/>
              <w:widowControl w:val="false"/>
              <w:tabs>
                <w:tab w:val="clear" w:pos="720"/>
                <w:tab w:val="right" w:pos="7254" w:leader="none"/>
              </w:tabs>
              <w:suppressAutoHyphens w:val="false"/>
              <w:spacing w:before="60" w:after="60"/>
              <w:rPr>
                <w:rFonts w:ascii="Arial" w:hAnsi="Arial" w:eastAsia="Times New Roman" w:cs="Arial"/>
                <w:sz w:val="18"/>
                <w:szCs w:val="18"/>
                <w:lang w:val="en-GB"/>
              </w:rPr>
            </w:pPr>
            <w:r>
              <w:rPr>
                <w:rFonts w:eastAsia="Times New Roman" w:cs="Arial" w:ascii="Arial" w:hAnsi="Arial"/>
                <w:sz w:val="18"/>
                <w:szCs w:val="18"/>
                <w:lang w:val="en-GB"/>
              </w:rPr>
            </w:r>
          </w:p>
          <w:p>
            <w:pPr>
              <w:pStyle w:val="IChar"/>
              <w:keepNext w:val="true"/>
              <w:keepLines/>
              <w:widowControl w:val="false"/>
              <w:tabs>
                <w:tab w:val="clear" w:pos="720"/>
                <w:tab w:val="right" w:pos="7254" w:leader="none"/>
              </w:tabs>
              <w:suppressAutoHyphens w:val="false"/>
              <w:spacing w:before="60" w:after="60"/>
              <w:rPr>
                <w:rFonts w:ascii="Arial" w:hAnsi="Arial" w:eastAsia="Times New Roman" w:cs="Arial"/>
                <w:sz w:val="22"/>
                <w:szCs w:val="22"/>
                <w:lang w:val="en-GB"/>
              </w:rPr>
            </w:pPr>
            <w:r>
              <w:rPr>
                <w:rFonts w:eastAsia="Times New Roman" w:cs="Arial" w:ascii="Arial" w:hAnsi="Arial"/>
                <w:i/>
                <w:sz w:val="18"/>
                <w:szCs w:val="18"/>
                <w:lang w:val="en-GB"/>
              </w:rPr>
              <w:t>[years should be consistent with the years of general experience required]</w:t>
            </w:r>
          </w:p>
        </w:tc>
      </w:tr>
      <w:tr>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120"/>
              <w:rPr>
                <w:rFonts w:ascii="Arial" w:hAnsi="Arial" w:eastAsia="Times New Roman" w:cs="Arial"/>
                <w:b/>
                <w:b/>
                <w:sz w:val="22"/>
                <w:szCs w:val="22"/>
                <w:lang w:val="en-GB"/>
              </w:rPr>
            </w:pPr>
            <w:r>
              <w:rPr>
                <w:rFonts w:eastAsia="Times New Roman" w:cs="Arial" w:ascii="Arial" w:hAnsi="Arial"/>
                <w:b/>
                <w:sz w:val="22"/>
                <w:szCs w:val="22"/>
                <w:lang w:val="en-GB"/>
              </w:rPr>
              <w:t>ITT 28.1(f)</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848" w:leader="none"/>
              </w:tabs>
              <w:spacing w:before="120" w:after="120"/>
              <w:jc w:val="both"/>
              <w:rPr>
                <w:rFonts w:ascii="Arial" w:hAnsi="Arial" w:eastAsia="Times New Roman" w:cs="Arial"/>
                <w:sz w:val="22"/>
                <w:szCs w:val="22"/>
                <w:lang w:val="en-GB"/>
              </w:rPr>
            </w:pPr>
            <w:r>
              <w:rPr>
                <w:rFonts w:eastAsia="Times New Roman" w:cs="Arial" w:ascii="Arial" w:hAnsi="Arial"/>
                <w:sz w:val="22"/>
                <w:szCs w:val="22"/>
                <w:lang w:val="en-GB"/>
              </w:rPr>
              <w:t>Manufacturer’s Authorisation is required for all the items listed in Section 6: Schedule of Requirements</w:t>
            </w:r>
          </w:p>
        </w:tc>
      </w:tr>
      <w:tr>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120"/>
              <w:rPr>
                <w:rFonts w:ascii="Arial" w:hAnsi="Arial" w:eastAsia="Times New Roman" w:cs="Arial"/>
                <w:b/>
                <w:b/>
                <w:sz w:val="22"/>
                <w:szCs w:val="22"/>
                <w:lang w:val="en-GB"/>
              </w:rPr>
            </w:pPr>
            <w:r>
              <w:rPr>
                <w:rFonts w:eastAsia="Times New Roman" w:cs="Arial" w:ascii="Arial" w:hAnsi="Arial"/>
                <w:b/>
                <w:sz w:val="22"/>
                <w:szCs w:val="22"/>
                <w:lang w:val="en-GB"/>
              </w:rPr>
              <w:t>ITT 28.1(h)</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I"/>
              <w:keepNext w:val="true"/>
              <w:widowControl w:val="false"/>
              <w:tabs>
                <w:tab w:val="clear" w:pos="720"/>
                <w:tab w:val="right" w:pos="7254" w:leader="none"/>
              </w:tabs>
              <w:suppressAutoHyphens w:val="false"/>
              <w:spacing w:before="60" w:after="60"/>
              <w:rPr>
                <w:rFonts w:ascii="Arial" w:hAnsi="Arial" w:cs="Arial"/>
                <w:i/>
                <w:i/>
                <w:color w:val="FF0000"/>
                <w:sz w:val="18"/>
                <w:szCs w:val="18"/>
                <w:lang w:val="en-GB"/>
              </w:rPr>
            </w:pPr>
            <w:r>
              <w:rPr>
                <w:rFonts w:cs="Arial" w:ascii="Arial" w:hAnsi="Arial"/>
                <w:color w:val="FF0000"/>
                <w:sz w:val="22"/>
                <w:szCs w:val="22"/>
                <w:lang w:val="en-GB"/>
              </w:rPr>
              <w:t xml:space="preserve">The required reports on the financial standing, such as profit and loss statements and audited balance sheet shall be for the past </w:t>
            </w:r>
            <w:r>
              <w:rPr>
                <w:rFonts w:cs="Arial" w:ascii="Arial" w:hAnsi="Arial"/>
                <w:i/>
                <w:color w:val="FF0000"/>
                <w:sz w:val="18"/>
                <w:szCs w:val="18"/>
                <w:lang w:val="en-GB"/>
              </w:rPr>
              <w:t xml:space="preserve">[insert number] </w:t>
            </w:r>
            <w:r>
              <w:rPr>
                <w:rFonts w:cs="Arial" w:ascii="Arial" w:hAnsi="Arial"/>
                <w:color w:val="FF0000"/>
                <w:sz w:val="22"/>
                <w:szCs w:val="22"/>
                <w:lang w:val="en-GB"/>
              </w:rPr>
              <w:t>years.</w:t>
            </w:r>
          </w:p>
          <w:p>
            <w:pPr>
              <w:pStyle w:val="I"/>
              <w:keepNext w:val="true"/>
              <w:widowControl w:val="false"/>
              <w:tabs>
                <w:tab w:val="clear" w:pos="720"/>
                <w:tab w:val="right" w:pos="7254" w:leader="none"/>
              </w:tabs>
              <w:suppressAutoHyphens w:val="false"/>
              <w:spacing w:before="60" w:after="60"/>
              <w:rPr>
                <w:rFonts w:ascii="Arial" w:hAnsi="Arial" w:cs="Arial"/>
                <w:b/>
                <w:b/>
                <w:sz w:val="18"/>
                <w:szCs w:val="18"/>
                <w:lang w:val="en-GB"/>
              </w:rPr>
            </w:pPr>
            <w:r>
              <w:rPr>
                <w:rFonts w:cs="Arial" w:ascii="Arial" w:hAnsi="Arial"/>
                <w:b/>
                <w:sz w:val="18"/>
                <w:szCs w:val="18"/>
                <w:lang w:val="en-GB"/>
              </w:rPr>
              <w:t>Not Applicable</w:t>
            </w:r>
          </w:p>
          <w:p>
            <w:pPr>
              <w:pStyle w:val="Normal"/>
              <w:widowControl w:val="false"/>
              <w:tabs>
                <w:tab w:val="clear" w:pos="720"/>
                <w:tab w:val="right" w:pos="7848" w:leader="none"/>
              </w:tabs>
              <w:spacing w:before="120" w:after="120"/>
              <w:jc w:val="both"/>
              <w:rPr>
                <w:rFonts w:ascii="Arial" w:hAnsi="Arial" w:eastAsia="Times New Roman" w:cs="Arial"/>
                <w:sz w:val="22"/>
                <w:szCs w:val="22"/>
                <w:lang w:val="en-GB"/>
              </w:rPr>
            </w:pPr>
            <w:r>
              <w:rPr>
                <w:rFonts w:eastAsia="Times New Roman" w:cs="Arial" w:ascii="Arial" w:hAnsi="Arial"/>
                <w:i/>
                <w:sz w:val="18"/>
                <w:szCs w:val="18"/>
                <w:lang w:val="en-GB"/>
              </w:rPr>
              <w:t>[years should be consistent with the years of general experience required]</w:t>
            </w:r>
          </w:p>
        </w:tc>
      </w:tr>
      <w:tr>
        <w:trPr>
          <w:trHeight w:val="1087" w:hRule="atLeast"/>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434" w:leader="none"/>
              </w:tabs>
              <w:rPr>
                <w:rFonts w:ascii="Arial" w:hAnsi="Arial" w:eastAsia="Times New Roman" w:cs="Arial"/>
                <w:b/>
                <w:b/>
                <w:sz w:val="22"/>
                <w:szCs w:val="22"/>
                <w:lang w:val="en-GB"/>
              </w:rPr>
            </w:pPr>
            <w:r>
              <w:rPr>
                <w:rFonts w:eastAsia="Times New Roman" w:cs="Arial" w:ascii="Arial" w:hAnsi="Arial"/>
                <w:b/>
                <w:sz w:val="22"/>
                <w:szCs w:val="22"/>
                <w:lang w:val="en-GB"/>
              </w:rPr>
              <w:t>ITT 29.1</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IChar"/>
              <w:widowControl w:val="false"/>
              <w:tabs>
                <w:tab w:val="clear" w:pos="720"/>
                <w:tab w:val="right" w:pos="7254" w:leader="none"/>
              </w:tabs>
              <w:suppressAutoHyphens w:val="false"/>
              <w:rPr>
                <w:rFonts w:ascii="Arial" w:hAnsi="Arial" w:eastAsia="Times New Roman" w:cs="Arial"/>
                <w:sz w:val="22"/>
                <w:szCs w:val="22"/>
                <w:lang w:val="en-GB"/>
              </w:rPr>
            </w:pPr>
            <w:r>
              <w:rPr>
                <w:rFonts w:eastAsia="Times New Roman" w:cs="Arial" w:ascii="Arial" w:hAnsi="Arial"/>
                <w:sz w:val="22"/>
                <w:szCs w:val="22"/>
                <w:lang w:val="en-GB"/>
              </w:rPr>
              <w:t xml:space="preserve">The Tender Validity period shall be </w:t>
            </w:r>
            <w:r>
              <w:rPr>
                <w:rFonts w:eastAsia="Times New Roman" w:cs="Arial" w:ascii="Arial" w:hAnsi="Arial"/>
                <w:i/>
                <w:sz w:val="22"/>
                <w:szCs w:val="22"/>
                <w:lang w:val="en-GB"/>
              </w:rPr>
              <w:t>120</w:t>
            </w:r>
            <w:r>
              <w:rPr>
                <w:rFonts w:eastAsia="Times New Roman" w:cs="Arial" w:ascii="Arial" w:hAnsi="Arial"/>
                <w:sz w:val="22"/>
                <w:szCs w:val="22"/>
                <w:lang w:val="en-GB"/>
              </w:rPr>
              <w:t xml:space="preserve"> days.</w:t>
            </w:r>
          </w:p>
        </w:tc>
      </w:tr>
      <w:tr>
        <w:trPr>
          <w:trHeight w:val="980" w:hRule="atLeast"/>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434" w:leader="none"/>
              </w:tabs>
              <w:rPr>
                <w:rFonts w:ascii="Arial" w:hAnsi="Arial" w:eastAsia="Times New Roman" w:cs="Arial"/>
                <w:b/>
                <w:b/>
                <w:sz w:val="22"/>
                <w:szCs w:val="22"/>
                <w:lang w:val="en-GB"/>
              </w:rPr>
            </w:pPr>
            <w:r>
              <w:rPr>
                <w:rFonts w:eastAsia="Times New Roman" w:cs="Arial" w:ascii="Arial" w:hAnsi="Arial"/>
                <w:b/>
                <w:sz w:val="22"/>
                <w:szCs w:val="22"/>
                <w:lang w:val="en-GB"/>
              </w:rPr>
              <w:t>ITT 31.1</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254" w:leader="none"/>
              </w:tabs>
              <w:jc w:val="both"/>
              <w:rPr>
                <w:rFonts w:ascii="Arial" w:hAnsi="Arial" w:eastAsia="Times New Roman" w:cs="Arial"/>
                <w:sz w:val="22"/>
                <w:szCs w:val="22"/>
                <w:lang w:val="en-GB"/>
              </w:rPr>
            </w:pPr>
            <w:r>
              <w:rPr>
                <w:rFonts w:eastAsia="Times New Roman" w:cs="Arial" w:ascii="Arial" w:hAnsi="Arial"/>
                <w:sz w:val="22"/>
                <w:szCs w:val="22"/>
                <w:lang w:val="en-GB"/>
              </w:rPr>
              <w:t>The amount of the Tender Security shall be</w:t>
            </w:r>
          </w:p>
          <w:p>
            <w:pPr>
              <w:pStyle w:val="Title"/>
              <w:widowControl w:val="false"/>
              <w:ind w:left="990" w:hanging="990"/>
              <w:jc w:val="both"/>
              <w:rPr>
                <w:rFonts w:ascii="Arial" w:hAnsi="Arial" w:cs="Arial"/>
                <w:b w:val="false"/>
                <w:b w:val="false"/>
                <w:sz w:val="22"/>
                <w:szCs w:val="32"/>
                <w:lang w:val="en-GB"/>
              </w:rPr>
            </w:pPr>
            <w:r>
              <w:rPr>
                <w:rFonts w:cs="Arial" w:ascii="Arial" w:hAnsi="Arial"/>
                <w:sz w:val="22"/>
                <w:szCs w:val="22"/>
                <w:lang w:val="en-GB"/>
              </w:rPr>
              <w:t xml:space="preserve">Lot 1 – </w:t>
            </w:r>
            <w:r>
              <w:rPr>
                <w:rFonts w:cs="Arial" w:ascii="Arial" w:hAnsi="Arial"/>
                <w:sz w:val="22"/>
                <w:szCs w:val="32"/>
                <w:lang w:val="en-GB"/>
              </w:rPr>
              <w:t>75,000/-</w:t>
            </w:r>
            <w:r>
              <w:rPr>
                <w:rFonts w:cs="Arial" w:ascii="Arial" w:hAnsi="Arial"/>
                <w:b w:val="false"/>
                <w:sz w:val="22"/>
                <w:szCs w:val="32"/>
                <w:lang w:val="en-GB"/>
              </w:rPr>
              <w:t xml:space="preserve"> (Seventy five thousand only)</w:t>
            </w:r>
          </w:p>
          <w:p>
            <w:pPr>
              <w:pStyle w:val="Normal"/>
              <w:widowControl w:val="false"/>
              <w:tabs>
                <w:tab w:val="clear" w:pos="720"/>
                <w:tab w:val="right" w:pos="7254" w:leader="none"/>
              </w:tabs>
              <w:jc w:val="both"/>
              <w:rPr>
                <w:rFonts w:ascii="Arial" w:hAnsi="Arial" w:eastAsia="Times New Roman" w:cs="Arial"/>
                <w:i/>
                <w:i/>
                <w:sz w:val="22"/>
                <w:szCs w:val="22"/>
                <w:lang w:val="en-GB"/>
              </w:rPr>
            </w:pPr>
            <w:r>
              <w:rPr>
                <w:rFonts w:cs="Arial" w:ascii="Arial" w:hAnsi="Arial"/>
                <w:b/>
                <w:sz w:val="22"/>
                <w:szCs w:val="32"/>
                <w:lang w:val="en-GB"/>
              </w:rPr>
              <w:t>Lot 2 –</w:t>
            </w:r>
            <w:r>
              <w:rPr>
                <w:rFonts w:cs="Arial" w:ascii="Arial" w:hAnsi="Arial"/>
                <w:sz w:val="22"/>
                <w:szCs w:val="32"/>
                <w:lang w:val="en-GB"/>
              </w:rPr>
              <w:t xml:space="preserve"> </w:t>
            </w:r>
            <w:r>
              <w:rPr>
                <w:rFonts w:cs="Arial" w:ascii="Arial" w:hAnsi="Arial"/>
                <w:b/>
                <w:sz w:val="22"/>
                <w:szCs w:val="32"/>
                <w:lang w:val="en-GB"/>
              </w:rPr>
              <w:t>1,50,000/- (One lac and fify thousand only)</w:t>
            </w:r>
          </w:p>
          <w:p>
            <w:pPr>
              <w:pStyle w:val="Normal"/>
              <w:widowControl w:val="false"/>
              <w:tabs>
                <w:tab w:val="clear" w:pos="720"/>
                <w:tab w:val="right" w:pos="7254" w:leader="none"/>
              </w:tabs>
              <w:jc w:val="both"/>
              <w:rPr>
                <w:rFonts w:ascii="Arial" w:hAnsi="Arial" w:eastAsia="Times New Roman" w:cs="Arial"/>
                <w:i/>
                <w:i/>
                <w:sz w:val="22"/>
                <w:szCs w:val="22"/>
                <w:lang w:val="en-GB"/>
              </w:rPr>
            </w:pPr>
            <w:r>
              <w:rPr>
                <w:rFonts w:eastAsia="Times New Roman" w:cs="Arial" w:ascii="Arial" w:hAnsi="Arial"/>
                <w:sz w:val="22"/>
                <w:szCs w:val="22"/>
                <w:lang w:val="en-GB"/>
              </w:rPr>
              <w:t xml:space="preserve">in favour of : </w:t>
            </w:r>
            <w:r>
              <w:rPr>
                <w:rFonts w:eastAsia="Times New Roman" w:cs="Arial" w:ascii="Arial" w:hAnsi="Arial"/>
                <w:b/>
                <w:bCs/>
                <w:sz w:val="22"/>
                <w:szCs w:val="22"/>
                <w:lang w:val="en-GB"/>
              </w:rPr>
              <w:t>Convener, Online Admission Committee</w:t>
            </w:r>
          </w:p>
          <w:p>
            <w:pPr>
              <w:pStyle w:val="Normal"/>
              <w:widowControl w:val="false"/>
              <w:tabs>
                <w:tab w:val="clear" w:pos="720"/>
                <w:tab w:val="right" w:pos="7254" w:leader="none"/>
              </w:tabs>
              <w:jc w:val="both"/>
              <w:rPr>
                <w:rFonts w:ascii="Arial" w:hAnsi="Arial" w:eastAsia="Times New Roman" w:cs="Arial"/>
                <w:i/>
                <w:i/>
                <w:sz w:val="22"/>
                <w:szCs w:val="22"/>
                <w:lang w:val="en-GB"/>
              </w:rPr>
            </w:pPr>
            <w:r>
              <w:rPr>
                <w:rFonts w:eastAsia="Times New Roman" w:cs="Arial" w:ascii="Arial" w:hAnsi="Arial"/>
                <w:sz w:val="22"/>
                <w:szCs w:val="22"/>
                <w:lang w:val="en-GB"/>
              </w:rPr>
              <w:t xml:space="preserve"> </w:t>
            </w:r>
            <w:r>
              <w:rPr>
                <w:rFonts w:eastAsia="Times New Roman" w:cs="Arial" w:ascii="Arial" w:hAnsi="Arial"/>
                <w:sz w:val="22"/>
                <w:szCs w:val="22"/>
                <w:lang w:val="en-GB"/>
              </w:rPr>
              <w:t>To be deposited as per instruction stated in Web Site.</w:t>
            </w:r>
          </w:p>
        </w:tc>
      </w:tr>
      <w:tr>
        <w:trPr>
          <w:trHeight w:val="610" w:hRule="atLeast"/>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434" w:leader="none"/>
              </w:tabs>
              <w:spacing w:before="120" w:after="120"/>
              <w:rPr>
                <w:rFonts w:ascii="Arial" w:hAnsi="Arial" w:eastAsia="Times New Roman" w:cs="Arial"/>
                <w:b/>
                <w:b/>
                <w:sz w:val="22"/>
                <w:szCs w:val="22"/>
                <w:lang w:val="en-GB"/>
              </w:rPr>
            </w:pPr>
            <w:r>
              <w:rPr>
                <w:rFonts w:eastAsia="Times New Roman" w:cs="Arial" w:ascii="Arial" w:hAnsi="Arial"/>
                <w:b/>
                <w:sz w:val="22"/>
                <w:szCs w:val="22"/>
                <w:lang w:val="en-GB"/>
              </w:rPr>
              <w:t>ITT36.1</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254" w:leader="none"/>
              </w:tabs>
              <w:spacing w:before="120" w:after="120"/>
              <w:jc w:val="both"/>
              <w:rPr>
                <w:rFonts w:ascii="Arial" w:hAnsi="Arial" w:eastAsia="Times New Roman" w:cs="Arial"/>
                <w:sz w:val="22"/>
                <w:szCs w:val="22"/>
                <w:lang w:val="en-GB"/>
              </w:rPr>
            </w:pPr>
            <w:r>
              <w:rPr>
                <w:rFonts w:eastAsia="Times New Roman" w:cs="Arial" w:ascii="Arial" w:hAnsi="Arial"/>
                <w:sz w:val="22"/>
                <w:szCs w:val="22"/>
                <w:lang w:val="en-GB"/>
              </w:rPr>
              <w:t>In addition to the original electronic copy of the Tender, 01 (one) paper copy must be submitted, within 3 working days after opening the tender.</w:t>
            </w:r>
          </w:p>
        </w:tc>
      </w:tr>
      <w:tr>
        <w:trPr/>
        <w:tc>
          <w:tcPr>
            <w:tcW w:w="9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Heading2"/>
              <w:widowControl w:val="false"/>
              <w:spacing w:before="120" w:after="120"/>
              <w:rPr>
                <w:rFonts w:ascii="Arial" w:hAnsi="Arial" w:eastAsia="Times New Roman"/>
                <w:lang w:val="en-GB"/>
              </w:rPr>
            </w:pPr>
            <w:bookmarkStart w:id="451" w:name="_Toc49504252"/>
            <w:bookmarkStart w:id="452" w:name="_Toc49569824"/>
            <w:bookmarkStart w:id="453" w:name="_Toc37047322"/>
            <w:bookmarkStart w:id="454" w:name="_Toc505659532"/>
            <w:bookmarkStart w:id="455" w:name="_Toc49504686"/>
            <w:bookmarkStart w:id="456" w:name="_Toc49591386"/>
            <w:bookmarkStart w:id="457" w:name="_Toc49504805"/>
            <w:bookmarkStart w:id="458" w:name="_Toc506185680"/>
            <w:bookmarkStart w:id="459" w:name="_Toc49591734"/>
            <w:bookmarkStart w:id="460" w:name="_Toc421454272"/>
            <w:r>
              <w:rPr>
                <w:rFonts w:eastAsia="Times New Roman" w:ascii="Arial" w:hAnsi="Arial"/>
                <w:lang w:val="en-GB"/>
              </w:rPr>
              <w:t>E.</w:t>
              <w:tab/>
              <w:t>Submission</w:t>
            </w:r>
            <w:bookmarkEnd w:id="451"/>
            <w:bookmarkEnd w:id="452"/>
            <w:bookmarkEnd w:id="453"/>
            <w:bookmarkEnd w:id="454"/>
            <w:bookmarkEnd w:id="455"/>
            <w:bookmarkEnd w:id="456"/>
            <w:bookmarkEnd w:id="457"/>
            <w:bookmarkEnd w:id="458"/>
            <w:bookmarkEnd w:id="459"/>
            <w:r>
              <w:rPr>
                <w:rFonts w:eastAsia="Times New Roman" w:ascii="Arial" w:hAnsi="Arial"/>
                <w:lang w:val="en-GB"/>
              </w:rPr>
              <w:t xml:space="preserve"> of Tender</w:t>
            </w:r>
            <w:bookmarkEnd w:id="460"/>
          </w:p>
        </w:tc>
      </w:tr>
      <w:tr>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120"/>
              <w:rPr>
                <w:rFonts w:ascii="Arial" w:hAnsi="Arial" w:eastAsia="Times New Roman" w:cs="Arial"/>
                <w:b/>
                <w:b/>
                <w:sz w:val="22"/>
                <w:szCs w:val="22"/>
                <w:lang w:val="en-GB"/>
              </w:rPr>
            </w:pPr>
            <w:r>
              <w:rPr>
                <w:rFonts w:eastAsia="Times New Roman" w:cs="Arial" w:ascii="Arial" w:hAnsi="Arial"/>
                <w:b/>
                <w:sz w:val="22"/>
                <w:szCs w:val="22"/>
                <w:lang w:val="en-GB"/>
              </w:rPr>
              <w:t>ITT 37.2</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254" w:leader="none"/>
              </w:tabs>
              <w:spacing w:before="120" w:after="120"/>
              <w:jc w:val="both"/>
              <w:rPr>
                <w:rFonts w:ascii="Arial" w:hAnsi="Arial" w:eastAsia="Times New Roman" w:cs="Arial"/>
                <w:i/>
                <w:i/>
                <w:sz w:val="22"/>
                <w:szCs w:val="22"/>
                <w:lang w:val="en-GB"/>
              </w:rPr>
            </w:pPr>
            <w:r>
              <w:rPr>
                <w:rFonts w:eastAsia="Times New Roman" w:cs="Arial" w:ascii="Arial" w:hAnsi="Arial"/>
                <w:sz w:val="22"/>
                <w:szCs w:val="22"/>
                <w:lang w:val="en-GB"/>
              </w:rPr>
              <w:t>The inner and outer envelopes shall bear the following additional identification marks:</w:t>
            </w:r>
          </w:p>
          <w:p>
            <w:pPr>
              <w:pStyle w:val="Normal"/>
              <w:widowControl w:val="false"/>
              <w:tabs>
                <w:tab w:val="clear" w:pos="720"/>
                <w:tab w:val="right" w:pos="7254" w:leader="none"/>
              </w:tabs>
              <w:spacing w:before="120" w:after="120"/>
              <w:jc w:val="both"/>
              <w:rPr>
                <w:rFonts w:ascii="Arial" w:hAnsi="Arial" w:eastAsia="Times New Roman" w:cs="Arial"/>
                <w:sz w:val="22"/>
                <w:szCs w:val="22"/>
                <w:lang w:val="en-GB"/>
              </w:rPr>
            </w:pPr>
            <w:r>
              <w:rPr>
                <w:rFonts w:eastAsia="Times New Roman" w:cs="Arial" w:ascii="Arial" w:hAnsi="Arial"/>
                <w:sz w:val="22"/>
                <w:szCs w:val="22"/>
                <w:lang w:val="en-GB"/>
              </w:rPr>
              <w:t>Tender No: DU/CAO/OTM/2023/147/001</w:t>
            </w:r>
          </w:p>
          <w:p>
            <w:pPr>
              <w:pStyle w:val="Normal"/>
              <w:widowControl w:val="false"/>
              <w:tabs>
                <w:tab w:val="clear" w:pos="720"/>
                <w:tab w:val="right" w:pos="7254" w:leader="none"/>
              </w:tabs>
              <w:spacing w:before="120" w:after="120"/>
              <w:jc w:val="both"/>
              <w:rPr>
                <w:rFonts w:ascii="Arial" w:hAnsi="Arial" w:eastAsia="Times New Roman" w:cs="Arial"/>
                <w:sz w:val="22"/>
                <w:szCs w:val="22"/>
                <w:lang w:val="en-GB"/>
              </w:rPr>
            </w:pPr>
            <w:r>
              <w:rPr>
                <w:rFonts w:eastAsia="Times New Roman" w:cs="Arial" w:ascii="Arial" w:hAnsi="Arial"/>
                <w:sz w:val="22"/>
                <w:szCs w:val="22"/>
                <w:lang w:val="en-GB"/>
              </w:rPr>
              <w:t>Issued on: 15.02.2023</w:t>
            </w:r>
          </w:p>
          <w:p>
            <w:pPr>
              <w:pStyle w:val="Normal"/>
              <w:widowControl w:val="false"/>
              <w:tabs>
                <w:tab w:val="clear" w:pos="720"/>
                <w:tab w:val="right" w:pos="7254" w:leader="none"/>
              </w:tabs>
              <w:spacing w:before="120" w:after="120"/>
              <w:jc w:val="both"/>
              <w:rPr>
                <w:rFonts w:ascii="Arial" w:hAnsi="Arial" w:cs="Arial"/>
                <w:b/>
                <w:b/>
                <w:bCs/>
                <w:sz w:val="28"/>
                <w:szCs w:val="28"/>
                <w:lang w:val="en-GB"/>
              </w:rPr>
            </w:pPr>
            <w:r>
              <w:rPr>
                <w:rFonts w:eastAsia="Times New Roman" w:cs="Arial" w:ascii="Arial" w:hAnsi="Arial"/>
                <w:sz w:val="22"/>
                <w:szCs w:val="22"/>
                <w:lang w:val="en-GB"/>
              </w:rPr>
              <w:t>Tender Lot No: 1, 2</w:t>
            </w:r>
          </w:p>
        </w:tc>
      </w:tr>
      <w:tr>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120"/>
              <w:rPr>
                <w:rFonts w:ascii="Arial" w:hAnsi="Arial" w:eastAsia="Times New Roman" w:cs="Arial"/>
                <w:b/>
                <w:b/>
                <w:bCs/>
                <w:sz w:val="22"/>
                <w:szCs w:val="22"/>
                <w:lang w:val="en-GB"/>
              </w:rPr>
            </w:pPr>
            <w:r>
              <w:rPr>
                <w:rFonts w:eastAsia="Times New Roman" w:cs="Arial" w:ascii="Arial" w:hAnsi="Arial"/>
                <w:b/>
                <w:sz w:val="22"/>
                <w:szCs w:val="22"/>
                <w:lang w:val="en-GB"/>
              </w:rPr>
              <w:t>ITT 38.1</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254" w:leader="none"/>
              </w:tabs>
              <w:spacing w:before="120" w:after="120"/>
              <w:jc w:val="both"/>
              <w:rPr>
                <w:rFonts w:ascii="Arial" w:hAnsi="Arial" w:eastAsia="Times New Roman" w:cs="Arial"/>
                <w:sz w:val="22"/>
                <w:szCs w:val="22"/>
                <w:lang w:val="en-GB"/>
              </w:rPr>
            </w:pPr>
            <w:r>
              <w:rPr>
                <w:rFonts w:eastAsia="Times New Roman" w:cs="Arial" w:ascii="Arial" w:hAnsi="Arial"/>
                <w:sz w:val="22"/>
                <w:szCs w:val="22"/>
                <w:lang w:val="en-GB"/>
              </w:rPr>
              <w:t xml:space="preserve">For </w:t>
            </w:r>
            <w:r>
              <w:rPr>
                <w:rFonts w:eastAsia="Times New Roman" w:cs="Arial" w:ascii="Arial" w:hAnsi="Arial"/>
                <w:b/>
                <w:sz w:val="22"/>
                <w:szCs w:val="22"/>
                <w:u w:val="single"/>
                <w:lang w:val="en-GB"/>
              </w:rPr>
              <w:t>Tender submission purposes</w:t>
            </w:r>
            <w:r>
              <w:rPr>
                <w:rFonts w:eastAsia="Times New Roman" w:cs="Arial" w:ascii="Arial" w:hAnsi="Arial"/>
                <w:sz w:val="22"/>
                <w:szCs w:val="22"/>
                <w:lang w:val="en-GB"/>
              </w:rPr>
              <w:t>, the Procuring Entity’s address is:</w:t>
            </w:r>
          </w:p>
          <w:p>
            <w:pPr>
              <w:pStyle w:val="Normal"/>
              <w:widowControl w:val="false"/>
              <w:tabs>
                <w:tab w:val="clear" w:pos="720"/>
                <w:tab w:val="right" w:pos="7254" w:leader="none"/>
              </w:tabs>
              <w:spacing w:before="120" w:after="120"/>
              <w:jc w:val="both"/>
              <w:rPr>
                <w:rFonts w:ascii="Arial" w:hAnsi="Arial" w:eastAsia="Times New Roman" w:cs="Arial"/>
                <w:sz w:val="22"/>
                <w:szCs w:val="22"/>
                <w:lang w:val="en-GB"/>
              </w:rPr>
            </w:pPr>
            <w:r>
              <w:rPr>
                <w:rFonts w:eastAsia="Times New Roman" w:cs="Arial" w:ascii="Arial" w:hAnsi="Arial"/>
                <w:sz w:val="22"/>
                <w:szCs w:val="22"/>
                <w:lang w:val="en-GB"/>
              </w:rPr>
              <w:t>Attention: Professor Dr. Md. Mustafizur Rahman</w:t>
            </w:r>
          </w:p>
          <w:p>
            <w:pPr>
              <w:pStyle w:val="Normal"/>
              <w:widowControl w:val="false"/>
              <w:tabs>
                <w:tab w:val="clear" w:pos="720"/>
                <w:tab w:val="right" w:pos="7254" w:leader="none"/>
              </w:tabs>
              <w:spacing w:before="120" w:after="120"/>
              <w:jc w:val="both"/>
              <w:rPr>
                <w:rFonts w:ascii="Arial" w:hAnsi="Arial" w:eastAsia="Times New Roman" w:cs="Arial"/>
                <w:sz w:val="22"/>
                <w:szCs w:val="22"/>
                <w:lang w:val="en-GB"/>
              </w:rPr>
            </w:pPr>
            <w:r>
              <w:rPr>
                <w:rFonts w:eastAsia="Times New Roman" w:cs="Arial" w:ascii="Arial" w:hAnsi="Arial"/>
                <w:sz w:val="22"/>
                <w:szCs w:val="22"/>
                <w:lang w:val="en-GB"/>
              </w:rPr>
              <w:t xml:space="preserve">Address: </w:t>
            </w:r>
            <w:r>
              <w:rPr>
                <w:rFonts w:eastAsia="Times New Roman" w:cs="Arial" w:ascii="Arial" w:hAnsi="Arial"/>
                <w:i/>
                <w:sz w:val="22"/>
                <w:szCs w:val="22"/>
                <w:lang w:val="en-GB"/>
              </w:rPr>
              <w:t>Room: 214, Central Admission Office, Administrative Building, University of Dhaka</w:t>
            </w:r>
          </w:p>
          <w:p>
            <w:pPr>
              <w:pStyle w:val="Normal"/>
              <w:widowControl w:val="false"/>
              <w:tabs>
                <w:tab w:val="clear" w:pos="720"/>
                <w:tab w:val="right" w:pos="7254" w:leader="none"/>
              </w:tabs>
              <w:spacing w:before="120" w:after="120"/>
              <w:jc w:val="both"/>
              <w:rPr>
                <w:rFonts w:ascii="Arial" w:hAnsi="Arial" w:eastAsia="Times New Roman" w:cs="Arial"/>
                <w:sz w:val="22"/>
                <w:szCs w:val="22"/>
                <w:lang w:val="en-GB"/>
              </w:rPr>
            </w:pPr>
            <w:r>
              <w:rPr>
                <w:rFonts w:eastAsia="Times New Roman" w:cs="Arial" w:ascii="Arial" w:hAnsi="Arial"/>
                <w:sz w:val="22"/>
                <w:szCs w:val="22"/>
                <w:lang w:val="en-GB"/>
              </w:rPr>
              <w:t>The deadline for submission of Tenders is : online &amp; Hand Copy</w:t>
            </w:r>
          </w:p>
          <w:p>
            <w:pPr>
              <w:pStyle w:val="Normal"/>
              <w:widowControl w:val="false"/>
              <w:tabs>
                <w:tab w:val="clear" w:pos="720"/>
                <w:tab w:val="right" w:pos="7254" w:leader="none"/>
              </w:tabs>
              <w:spacing w:before="120" w:after="120"/>
              <w:jc w:val="both"/>
              <w:rPr>
                <w:rFonts w:ascii="Arial" w:hAnsi="Arial" w:eastAsia="Times New Roman" w:cs="Arial"/>
                <w:color w:val="000000" w:themeColor="text1"/>
                <w:sz w:val="22"/>
                <w:szCs w:val="22"/>
                <w:lang w:val="en-GB"/>
              </w:rPr>
            </w:pPr>
            <w:r>
              <w:rPr>
                <w:rFonts w:eastAsia="Times New Roman" w:cs="Arial" w:ascii="Arial" w:hAnsi="Arial"/>
                <w:color w:val="000000" w:themeColor="text1"/>
                <w:sz w:val="22"/>
                <w:szCs w:val="22"/>
                <w:lang w:val="en-GB"/>
              </w:rPr>
              <w:t xml:space="preserve">Time &amp; Date: </w:t>
            </w:r>
            <w:r>
              <w:rPr>
                <w:rFonts w:cs="Arial" w:ascii="Arial" w:hAnsi="Arial"/>
                <w:b/>
                <w:bCs/>
                <w:color w:val="000000" w:themeColor="text1"/>
                <w:sz w:val="20"/>
                <w:szCs w:val="28"/>
                <w:lang w:val="en-GB"/>
              </w:rPr>
              <w:t>02.03.2023 (12:00 Pm)</w:t>
            </w:r>
          </w:p>
        </w:tc>
      </w:tr>
      <w:tr>
        <w:trPr/>
        <w:tc>
          <w:tcPr>
            <w:tcW w:w="9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Heading2"/>
              <w:widowControl w:val="false"/>
              <w:spacing w:before="120" w:after="120"/>
              <w:rPr>
                <w:rFonts w:ascii="Arial" w:hAnsi="Arial" w:eastAsia="Times New Roman"/>
                <w:lang w:val="en-GB"/>
              </w:rPr>
            </w:pPr>
            <w:bookmarkStart w:id="461" w:name="_Toc421454273"/>
            <w:bookmarkStart w:id="462" w:name="_Toc49591735"/>
            <w:bookmarkStart w:id="463" w:name="_Toc49569825"/>
            <w:bookmarkStart w:id="464" w:name="_Toc49591387"/>
            <w:r>
              <w:rPr>
                <w:rFonts w:eastAsia="Times New Roman" w:ascii="Arial" w:hAnsi="Arial"/>
                <w:lang w:val="en-GB"/>
              </w:rPr>
              <w:t>F.</w:t>
              <w:tab/>
              <w:t>Opening and Evaluation</w:t>
            </w:r>
            <w:bookmarkEnd w:id="462"/>
            <w:bookmarkEnd w:id="463"/>
            <w:bookmarkEnd w:id="464"/>
            <w:r>
              <w:rPr>
                <w:rFonts w:eastAsia="Times New Roman" w:ascii="Arial" w:hAnsi="Arial"/>
                <w:lang w:val="en-GB"/>
              </w:rPr>
              <w:t xml:space="preserve"> of Tenders</w:t>
            </w:r>
            <w:bookmarkEnd w:id="461"/>
          </w:p>
        </w:tc>
      </w:tr>
      <w:tr>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434" w:leader="none"/>
              </w:tabs>
              <w:spacing w:before="120" w:after="120"/>
              <w:rPr>
                <w:rFonts w:ascii="Arial" w:hAnsi="Arial" w:eastAsia="Times New Roman" w:cs="Arial"/>
                <w:b/>
                <w:b/>
                <w:sz w:val="22"/>
                <w:szCs w:val="22"/>
                <w:lang w:val="en-GB"/>
              </w:rPr>
            </w:pPr>
            <w:r>
              <w:rPr>
                <w:rFonts w:eastAsia="Times New Roman" w:cs="Arial" w:ascii="Arial" w:hAnsi="Arial"/>
                <w:b/>
                <w:sz w:val="22"/>
                <w:szCs w:val="22"/>
                <w:lang w:val="en-GB"/>
              </w:rPr>
              <w:t>ITT44.1</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254" w:leader="none"/>
              </w:tabs>
              <w:spacing w:before="120" w:after="120"/>
              <w:rPr>
                <w:rFonts w:ascii="Arial" w:hAnsi="Arial" w:eastAsia="Times New Roman" w:cs="Arial"/>
                <w:sz w:val="22"/>
                <w:szCs w:val="22"/>
                <w:lang w:val="en-GB"/>
              </w:rPr>
            </w:pPr>
            <w:r>
              <w:rPr>
                <w:rFonts w:eastAsia="Times New Roman" w:cs="Arial" w:ascii="Arial" w:hAnsi="Arial"/>
                <w:sz w:val="22"/>
                <w:szCs w:val="22"/>
                <w:lang w:val="en-GB"/>
              </w:rPr>
              <w:t>The Tender opening shall take place at:</w:t>
            </w:r>
          </w:p>
          <w:p>
            <w:pPr>
              <w:pStyle w:val="Normal"/>
              <w:widowControl w:val="false"/>
              <w:tabs>
                <w:tab w:val="clear" w:pos="720"/>
                <w:tab w:val="right" w:pos="7254" w:leader="none"/>
              </w:tabs>
              <w:spacing w:before="120" w:after="120"/>
              <w:jc w:val="both"/>
              <w:rPr>
                <w:rFonts w:ascii="Arial" w:hAnsi="Arial" w:eastAsia="Times New Roman" w:cs="Arial"/>
                <w:i/>
                <w:i/>
                <w:sz w:val="22"/>
                <w:szCs w:val="22"/>
                <w:lang w:val="en-GB"/>
              </w:rPr>
            </w:pPr>
            <w:r>
              <w:rPr>
                <w:rFonts w:eastAsia="Times New Roman" w:cs="Arial" w:ascii="Arial" w:hAnsi="Arial"/>
                <w:sz w:val="22"/>
                <w:szCs w:val="22"/>
                <w:lang w:val="en-GB"/>
              </w:rPr>
              <w:t xml:space="preserve">Address: </w:t>
            </w:r>
            <w:r>
              <w:rPr>
                <w:rFonts w:eastAsia="Times New Roman" w:cs="Arial" w:ascii="Arial" w:hAnsi="Arial"/>
                <w:i/>
                <w:sz w:val="22"/>
                <w:szCs w:val="22"/>
                <w:lang w:val="en-GB"/>
              </w:rPr>
              <w:t>Online Opening, Engineering Section, Administrative Building, University of Dhaka</w:t>
            </w:r>
          </w:p>
          <w:p>
            <w:pPr>
              <w:pStyle w:val="Normal"/>
              <w:widowControl w:val="false"/>
              <w:tabs>
                <w:tab w:val="clear" w:pos="720"/>
                <w:tab w:val="right" w:pos="7254" w:leader="none"/>
              </w:tabs>
              <w:spacing w:before="120" w:after="120"/>
              <w:rPr>
                <w:rFonts w:ascii="Arial" w:hAnsi="Arial" w:eastAsia="Times New Roman" w:cs="Arial"/>
                <w:sz w:val="22"/>
                <w:szCs w:val="22"/>
                <w:lang w:val="en-GB"/>
              </w:rPr>
            </w:pPr>
            <w:r>
              <w:rPr>
                <w:rFonts w:eastAsia="Times New Roman" w:cs="Arial" w:ascii="Arial" w:hAnsi="Arial"/>
                <w:sz w:val="22"/>
                <w:szCs w:val="22"/>
                <w:lang w:val="en-GB"/>
              </w:rPr>
              <w:t xml:space="preserve">Time &amp; Date: </w:t>
            </w:r>
            <w:r>
              <w:rPr>
                <w:rFonts w:cs="Arial" w:ascii="Arial" w:hAnsi="Arial"/>
                <w:b/>
                <w:bCs/>
                <w:color w:val="000000" w:themeColor="text1"/>
                <w:sz w:val="20"/>
                <w:szCs w:val="28"/>
                <w:lang w:val="en-GB"/>
              </w:rPr>
              <w:t>02.03.2023 (12:30 Pm)</w:t>
            </w:r>
          </w:p>
        </w:tc>
      </w:tr>
      <w:tr>
        <w:trPr/>
        <w:tc>
          <w:tcPr>
            <w:tcW w:w="9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Heading2"/>
              <w:widowControl w:val="false"/>
              <w:spacing w:before="120" w:after="120"/>
              <w:rPr>
                <w:rFonts w:ascii="Arial" w:hAnsi="Arial" w:eastAsia="Times New Roman"/>
                <w:lang w:val="en-GB"/>
              </w:rPr>
            </w:pPr>
            <w:bookmarkStart w:id="465" w:name="_Toc505659534"/>
            <w:bookmarkStart w:id="466" w:name="_Toc49591388"/>
            <w:bookmarkStart w:id="467" w:name="_Toc49591736"/>
            <w:bookmarkStart w:id="468" w:name="_Toc49504806"/>
            <w:bookmarkStart w:id="469" w:name="_Toc421454274"/>
            <w:bookmarkStart w:id="470" w:name="_Toc37047324"/>
            <w:bookmarkStart w:id="471" w:name="_Toc506185682"/>
            <w:bookmarkStart w:id="472" w:name="_Toc49504253"/>
            <w:bookmarkStart w:id="473" w:name="_Toc49504687"/>
            <w:bookmarkStart w:id="474" w:name="_Toc49569826"/>
            <w:r>
              <w:rPr>
                <w:rFonts w:eastAsia="Times New Roman" w:ascii="Arial" w:hAnsi="Arial"/>
                <w:lang w:val="en-GB"/>
              </w:rPr>
              <w:t>G.</w:t>
              <w:tab/>
              <w:t>Award</w:t>
            </w:r>
            <w:bookmarkEnd w:id="465"/>
            <w:bookmarkEnd w:id="466"/>
            <w:bookmarkEnd w:id="467"/>
            <w:bookmarkEnd w:id="468"/>
            <w:bookmarkEnd w:id="470"/>
            <w:bookmarkEnd w:id="471"/>
            <w:bookmarkEnd w:id="472"/>
            <w:bookmarkEnd w:id="473"/>
            <w:bookmarkEnd w:id="474"/>
            <w:r>
              <w:rPr>
                <w:rFonts w:eastAsia="Times New Roman" w:ascii="Arial" w:hAnsi="Arial"/>
                <w:lang w:val="en-GB"/>
              </w:rPr>
              <w:t xml:space="preserve"> of Contract</w:t>
            </w:r>
            <w:bookmarkEnd w:id="469"/>
          </w:p>
        </w:tc>
      </w:tr>
      <w:tr>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434" w:leader="none"/>
              </w:tabs>
              <w:spacing w:before="120" w:after="120"/>
              <w:jc w:val="both"/>
              <w:rPr>
                <w:rFonts w:ascii="Arial" w:hAnsi="Arial" w:eastAsia="Times New Roman" w:cs="Arial"/>
                <w:b/>
                <w:b/>
                <w:color w:val="FF0000"/>
                <w:sz w:val="22"/>
                <w:szCs w:val="22"/>
                <w:lang w:val="en-GB"/>
              </w:rPr>
            </w:pPr>
            <w:r>
              <w:rPr>
                <w:rFonts w:eastAsia="Times New Roman" w:cs="Arial" w:ascii="Arial" w:hAnsi="Arial"/>
                <w:b/>
                <w:color w:val="FF0000"/>
                <w:sz w:val="22"/>
                <w:szCs w:val="22"/>
                <w:lang w:val="en-GB"/>
              </w:rPr>
              <w:t>ITT60.1</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254" w:leader="none"/>
              </w:tabs>
              <w:spacing w:before="120" w:after="120"/>
              <w:jc w:val="both"/>
              <w:rPr>
                <w:rFonts w:ascii="Arial" w:hAnsi="Arial" w:eastAsia="Times New Roman" w:cs="Arial"/>
                <w:color w:val="FF0000"/>
                <w:sz w:val="22"/>
                <w:szCs w:val="22"/>
                <w:lang w:val="en-GB"/>
              </w:rPr>
            </w:pPr>
            <w:r>
              <w:rPr>
                <w:rFonts w:eastAsia="Times New Roman" w:cs="Arial" w:ascii="Arial" w:hAnsi="Arial"/>
                <w:color w:val="FF0000"/>
                <w:sz w:val="22"/>
                <w:szCs w:val="22"/>
                <w:lang w:val="en-GB"/>
              </w:rPr>
              <w:t xml:space="preserve">The maximum percentage by which quantities per item may be increased is </w:t>
            </w:r>
            <w:r>
              <w:rPr>
                <w:rFonts w:eastAsia="Times New Roman" w:cs="Arial" w:ascii="Arial" w:hAnsi="Arial"/>
                <w:i/>
                <w:iCs/>
                <w:color w:val="FF0000"/>
                <w:sz w:val="22"/>
                <w:szCs w:val="22"/>
                <w:lang w:val="en-GB"/>
              </w:rPr>
              <w:t xml:space="preserve">15% </w:t>
            </w:r>
            <w:r>
              <w:rPr>
                <w:rFonts w:eastAsia="Times New Roman" w:cs="Arial" w:ascii="Arial" w:hAnsi="Arial"/>
                <w:color w:val="FF0000"/>
                <w:sz w:val="22"/>
                <w:szCs w:val="22"/>
                <w:lang w:val="en-GB"/>
              </w:rPr>
              <w:t xml:space="preserve"> at the time of Contract Award.</w:t>
            </w:r>
          </w:p>
          <w:p>
            <w:pPr>
              <w:pStyle w:val="Normal"/>
              <w:widowControl w:val="false"/>
              <w:tabs>
                <w:tab w:val="clear" w:pos="720"/>
                <w:tab w:val="right" w:pos="7254" w:leader="none"/>
              </w:tabs>
              <w:spacing w:before="120" w:after="120"/>
              <w:jc w:val="both"/>
              <w:rPr>
                <w:rFonts w:ascii="Arial" w:hAnsi="Arial" w:eastAsia="Times New Roman" w:cs="Arial"/>
                <w:color w:val="FF0000"/>
                <w:sz w:val="22"/>
                <w:szCs w:val="22"/>
                <w:lang w:val="en-GB"/>
              </w:rPr>
            </w:pPr>
            <w:r>
              <w:rPr>
                <w:rFonts w:eastAsia="Times New Roman" w:cs="Arial" w:ascii="Arial" w:hAnsi="Arial"/>
                <w:color w:val="FF0000"/>
                <w:sz w:val="22"/>
                <w:szCs w:val="22"/>
                <w:lang w:val="en-GB"/>
              </w:rPr>
              <w:t>The maximum percentage by which quantities per item may be decreased is 15% at the time of Contract Award.</w:t>
            </w:r>
          </w:p>
        </w:tc>
      </w:tr>
      <w:tr>
        <w:trPr>
          <w:trHeight w:val="728" w:hRule="atLeast"/>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434" w:leader="none"/>
              </w:tabs>
              <w:spacing w:before="120" w:after="120"/>
              <w:jc w:val="both"/>
              <w:rPr>
                <w:rFonts w:ascii="Arial" w:hAnsi="Arial" w:eastAsia="Times New Roman" w:cs="Arial"/>
                <w:b/>
                <w:b/>
                <w:sz w:val="22"/>
                <w:szCs w:val="22"/>
                <w:lang w:val="en-GB"/>
              </w:rPr>
            </w:pPr>
            <w:r>
              <w:rPr>
                <w:rFonts w:eastAsia="Times New Roman" w:cs="Arial" w:ascii="Arial" w:hAnsi="Arial"/>
                <w:b/>
                <w:sz w:val="22"/>
                <w:szCs w:val="22"/>
                <w:lang w:val="en-GB"/>
              </w:rPr>
              <w:t>ITT62.1</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164" w:leader="none"/>
              </w:tabs>
              <w:spacing w:before="120" w:after="120"/>
              <w:jc w:val="both"/>
              <w:rPr>
                <w:rFonts w:ascii="Arial" w:hAnsi="Arial" w:eastAsia="Times New Roman" w:cs="Arial"/>
                <w:i/>
                <w:i/>
                <w:iCs/>
                <w:sz w:val="22"/>
                <w:szCs w:val="22"/>
                <w:lang w:val="en-GB"/>
              </w:rPr>
            </w:pPr>
            <w:r>
              <w:rPr>
                <w:rFonts w:eastAsia="Times New Roman" w:cs="Arial" w:ascii="Arial" w:hAnsi="Arial"/>
                <w:sz w:val="22"/>
                <w:szCs w:val="22"/>
                <w:lang w:val="en-GB"/>
              </w:rPr>
              <w:t>The amount of Performance Security shall be ten (10) percent of the Contract Price.</w:t>
            </w:r>
          </w:p>
        </w:tc>
      </w:tr>
      <w:tr>
        <w:trPr>
          <w:trHeight w:val="1038" w:hRule="atLeast"/>
        </w:trPr>
        <w:tc>
          <w:tcPr>
            <w:tcW w:w="1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434" w:leader="none"/>
              </w:tabs>
              <w:spacing w:before="120" w:after="120"/>
              <w:jc w:val="both"/>
              <w:rPr>
                <w:rFonts w:ascii="Arial" w:hAnsi="Arial" w:eastAsia="Times New Roman" w:cs="Arial"/>
                <w:b/>
                <w:b/>
                <w:sz w:val="22"/>
                <w:szCs w:val="22"/>
                <w:lang w:val="en-GB"/>
              </w:rPr>
            </w:pPr>
            <w:r>
              <w:rPr>
                <w:rFonts w:eastAsia="Times New Roman" w:cs="Arial" w:ascii="Arial" w:hAnsi="Arial"/>
                <w:b/>
                <w:sz w:val="22"/>
                <w:szCs w:val="22"/>
                <w:lang w:val="en-GB"/>
              </w:rPr>
              <w:t>ITT 62.3</w:t>
            </w:r>
          </w:p>
        </w:tc>
        <w:tc>
          <w:tcPr>
            <w:tcW w:w="79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right" w:pos="7164" w:leader="none"/>
              </w:tabs>
              <w:spacing w:before="120" w:after="120"/>
              <w:jc w:val="both"/>
              <w:rPr>
                <w:rFonts w:ascii="Arial" w:hAnsi="Arial" w:eastAsia="Times New Roman" w:cs="Arial"/>
                <w:sz w:val="22"/>
                <w:szCs w:val="22"/>
                <w:lang w:val="en-GB"/>
              </w:rPr>
            </w:pPr>
            <w:r>
              <w:rPr>
                <w:rFonts w:eastAsia="Times New Roman" w:cs="Arial" w:ascii="Arial" w:hAnsi="Arial"/>
                <w:sz w:val="22"/>
                <w:szCs w:val="22"/>
                <w:lang w:val="en-GB"/>
              </w:rPr>
              <w:t>The Security Deposit shall be deducted @ ten (10) percent from the  successful Tenderer’s payable invoices during Contract implementation, if awarded the Contract.</w:t>
            </w:r>
          </w:p>
        </w:tc>
      </w:tr>
    </w:tbl>
    <w:p>
      <w:pPr>
        <w:sectPr>
          <w:footerReference w:type="default" r:id="rId4"/>
          <w:type w:val="nextPage"/>
          <w:pgSz w:w="11906" w:h="16838"/>
          <w:pgMar w:left="1440" w:right="1440" w:gutter="0" w:header="0" w:top="1440" w:footer="720" w:bottom="1440"/>
          <w:pgNumType w:fmt="decimal"/>
          <w:formProt w:val="false"/>
          <w:textDirection w:val="lrTb"/>
          <w:docGrid w:type="default" w:linePitch="100" w:charSpace="0"/>
        </w:sectPr>
        <w:pStyle w:val="Normal"/>
        <w:rPr>
          <w:rFonts w:ascii="Arial" w:hAnsi="Arial" w:cs="Arial"/>
          <w:lang w:val="en-GB"/>
        </w:rPr>
      </w:pPr>
      <w:r>
        <w:rPr>
          <w:rFonts w:cs="Arial" w:ascii="Arial" w:hAnsi="Arial"/>
          <w:lang w:val="en-GB"/>
        </w:rPr>
      </w:r>
    </w:p>
    <w:tbl>
      <w:tblPr>
        <w:tblW w:w="9612" w:type="dxa"/>
        <w:jc w:val="left"/>
        <w:tblInd w:w="-144" w:type="dxa"/>
        <w:tblLayout w:type="fixed"/>
        <w:tblCellMar>
          <w:top w:w="0" w:type="dxa"/>
          <w:left w:w="108" w:type="dxa"/>
          <w:bottom w:w="0" w:type="dxa"/>
          <w:right w:w="108" w:type="dxa"/>
        </w:tblCellMar>
        <w:tblLook w:val="0000" w:noHBand="0" w:noVBand="0" w:firstColumn="0" w:lastRow="0" w:lastColumn="0" w:firstRow="0"/>
      </w:tblPr>
      <w:tblGrid>
        <w:gridCol w:w="2052"/>
        <w:gridCol w:w="7559"/>
      </w:tblGrid>
      <w:tr>
        <w:trPr/>
        <w:tc>
          <w:tcPr>
            <w:tcW w:w="9611" w:type="dxa"/>
            <w:gridSpan w:val="2"/>
            <w:tcBorders/>
          </w:tcPr>
          <w:p>
            <w:pPr>
              <w:pStyle w:val="Heading1"/>
              <w:widowControl w:val="false"/>
              <w:spacing w:before="240" w:after="240"/>
              <w:rPr>
                <w:rFonts w:ascii="Arial" w:hAnsi="Arial" w:cs="Arial"/>
                <w:sz w:val="32"/>
                <w:lang w:val="en-GB"/>
              </w:rPr>
            </w:pPr>
            <w:r>
              <w:rPr>
                <w:rFonts w:cs="Arial" w:ascii="Arial" w:hAnsi="Arial"/>
                <w:sz w:val="32"/>
                <w:lang w:val="en-GB"/>
              </w:rPr>
              <w:t>Se</w:t>
            </w:r>
            <w:bookmarkStart w:id="475" w:name="_Toc421454275"/>
            <w:r>
              <w:rPr>
                <w:rFonts w:cs="Arial" w:ascii="Arial" w:hAnsi="Arial"/>
                <w:sz w:val="32"/>
                <w:lang w:val="en-GB"/>
              </w:rPr>
              <w:t>ction 3.</w:t>
              <w:tab/>
              <w:t>General Conditions of Contract</w:t>
            </w:r>
            <w:bookmarkEnd w:id="475"/>
          </w:p>
        </w:tc>
      </w:tr>
      <w:tr>
        <w:trPr>
          <w:trHeight w:val="7020" w:hRule="atLeast"/>
        </w:trPr>
        <w:tc>
          <w:tcPr>
            <w:tcW w:w="2052" w:type="dxa"/>
            <w:tcBorders/>
          </w:tcPr>
          <w:p>
            <w:pPr>
              <w:pStyle w:val="Normal"/>
              <w:widowControl w:val="false"/>
              <w:numPr>
                <w:ilvl w:val="0"/>
                <w:numId w:val="95"/>
              </w:numPr>
              <w:tabs>
                <w:tab w:val="clear" w:pos="720"/>
                <w:tab w:val="left" w:pos="387" w:leader="none"/>
              </w:tabs>
              <w:spacing w:before="120" w:after="0"/>
              <w:ind w:left="414" w:hanging="342"/>
              <w:outlineLvl w:val="2"/>
              <w:rPr>
                <w:rStyle w:val="Heading3Char"/>
                <w:bCs w:val="false"/>
                <w:sz w:val="22"/>
                <w:szCs w:val="22"/>
              </w:rPr>
            </w:pPr>
            <w:bookmarkStart w:id="476" w:name="_Toc35418441"/>
            <w:bookmarkStart w:id="477" w:name="_Toc49504257"/>
            <w:bookmarkStart w:id="478" w:name="_Toc49504690"/>
            <w:bookmarkStart w:id="479" w:name="_Toc49504808"/>
            <w:bookmarkStart w:id="480" w:name="_Toc49591738"/>
            <w:bookmarkStart w:id="481" w:name="_Toc68232658"/>
            <w:bookmarkStart w:id="482" w:name="_Toc421454276"/>
            <w:bookmarkStart w:id="483" w:name="_Toc49569828"/>
            <w:bookmarkStart w:id="484" w:name="_Toc49591390"/>
            <w:r>
              <w:rPr>
                <w:rStyle w:val="Heading3Char"/>
                <w:rFonts w:ascii="Arial" w:hAnsi="Arial"/>
                <w:b/>
                <w:bCs w:val="false"/>
                <w:sz w:val="22"/>
                <w:szCs w:val="22"/>
              </w:rPr>
              <w:t>Definitions</w:t>
            </w:r>
            <w:bookmarkEnd w:id="476"/>
            <w:bookmarkEnd w:id="477"/>
            <w:bookmarkEnd w:id="478"/>
            <w:bookmarkEnd w:id="479"/>
            <w:bookmarkEnd w:id="480"/>
            <w:bookmarkEnd w:id="481"/>
            <w:bookmarkEnd w:id="482"/>
            <w:bookmarkEnd w:id="483"/>
            <w:bookmarkEnd w:id="484"/>
          </w:p>
        </w:tc>
        <w:tc>
          <w:tcPr>
            <w:tcW w:w="7559" w:type="dxa"/>
            <w:tcBorders/>
          </w:tcPr>
          <w:p>
            <w:pPr>
              <w:pStyle w:val="SubClauseText"/>
              <w:widowControl w:val="false"/>
              <w:numPr>
                <w:ilvl w:val="1"/>
                <w:numId w:val="48"/>
              </w:numPr>
              <w:tabs>
                <w:tab w:val="clear" w:pos="720"/>
                <w:tab w:val="left" w:pos="567" w:leader="none"/>
              </w:tabs>
              <w:spacing w:before="100" w:after="100"/>
              <w:ind w:left="585" w:hanging="576"/>
              <w:rPr>
                <w:rFonts w:ascii="Arial" w:hAnsi="Arial" w:cs="Arial"/>
                <w:sz w:val="22"/>
                <w:szCs w:val="22"/>
                <w:lang w:val="en-GB"/>
              </w:rPr>
            </w:pPr>
            <w:r>
              <w:rPr>
                <w:rFonts w:cs="Arial" w:ascii="Arial" w:hAnsi="Arial"/>
                <w:sz w:val="22"/>
                <w:szCs w:val="22"/>
                <w:lang w:val="en-GB"/>
              </w:rPr>
              <w:t>In the Conditions of Contract, which include Particular Conditions and these General Conditions, the following words and expressions shall have the meaning hereby assigned to them. Boldface type is used to identify the defined term:</w:t>
            </w:r>
          </w:p>
          <w:p>
            <w:pPr>
              <w:pStyle w:val="Normal"/>
              <w:widowControl w:val="false"/>
              <w:numPr>
                <w:ilvl w:val="2"/>
                <w:numId w:val="48"/>
              </w:numPr>
              <w:tabs>
                <w:tab w:val="clear" w:pos="720"/>
                <w:tab w:val="left" w:pos="1170" w:leader="none"/>
              </w:tabs>
              <w:spacing w:before="240" w:after="120"/>
              <w:ind w:left="1196" w:hanging="634"/>
              <w:jc w:val="both"/>
              <w:rPr>
                <w:rFonts w:ascii="Arial" w:hAnsi="Arial" w:cs="Arial"/>
                <w:sz w:val="22"/>
                <w:szCs w:val="22"/>
                <w:lang w:val="en-GB"/>
              </w:rPr>
            </w:pPr>
            <w:r>
              <w:rPr>
                <w:rFonts w:cs="Arial" w:ascii="Arial" w:hAnsi="Arial"/>
                <w:b/>
                <w:sz w:val="22"/>
                <w:szCs w:val="22"/>
                <w:lang w:val="en-GB"/>
              </w:rPr>
              <w:t>Adjudicator</w:t>
            </w:r>
            <w:r>
              <w:rPr>
                <w:rFonts w:cs="Arial" w:ascii="Arial" w:hAnsi="Arial"/>
                <w:sz w:val="22"/>
                <w:szCs w:val="22"/>
                <w:lang w:val="en-GB"/>
              </w:rPr>
              <w:t xml:space="preserve"> is the expert appointed jointly by the Procuring Entity and the Contractor to resolve disputes in the first instance, as provided for in GCC Sub Clause 42.2.</w:t>
            </w:r>
          </w:p>
          <w:p>
            <w:pPr>
              <w:pStyle w:val="Normal"/>
              <w:widowControl w:val="false"/>
              <w:numPr>
                <w:ilvl w:val="2"/>
                <w:numId w:val="48"/>
              </w:numPr>
              <w:tabs>
                <w:tab w:val="clear" w:pos="720"/>
                <w:tab w:val="left" w:pos="1170" w:leader="none"/>
              </w:tabs>
              <w:spacing w:before="240" w:after="120"/>
              <w:ind w:left="1196" w:hanging="634"/>
              <w:jc w:val="both"/>
              <w:rPr>
                <w:rFonts w:ascii="Arial" w:hAnsi="Arial" w:cs="Arial"/>
                <w:sz w:val="22"/>
                <w:szCs w:val="22"/>
                <w:lang w:val="en-GB"/>
              </w:rPr>
            </w:pPr>
            <w:r>
              <w:rPr>
                <w:rFonts w:cs="Arial" w:ascii="Arial" w:hAnsi="Arial"/>
                <w:b/>
                <w:bCs/>
                <w:sz w:val="22"/>
                <w:szCs w:val="22"/>
                <w:lang w:val="en-GB"/>
              </w:rPr>
              <w:t xml:space="preserve">Completion Schedule </w:t>
            </w:r>
            <w:r>
              <w:rPr>
                <w:rFonts w:cs="Arial" w:ascii="Arial" w:hAnsi="Arial"/>
                <w:sz w:val="22"/>
                <w:szCs w:val="22"/>
                <w:lang w:val="en-GB"/>
              </w:rPr>
              <w:t>means the fulfilment of the Related Services by the Supplier in accordance with the terms and conditions set forth in the Contract;</w:t>
            </w:r>
          </w:p>
          <w:p>
            <w:pPr>
              <w:pStyle w:val="Normal"/>
              <w:widowControl w:val="false"/>
              <w:numPr>
                <w:ilvl w:val="2"/>
                <w:numId w:val="48"/>
              </w:numPr>
              <w:tabs>
                <w:tab w:val="clear" w:pos="720"/>
                <w:tab w:val="left" w:pos="1179" w:leader="none"/>
              </w:tabs>
              <w:spacing w:before="100" w:after="100"/>
              <w:ind w:left="1197" w:hanging="630"/>
              <w:jc w:val="both"/>
              <w:rPr>
                <w:rFonts w:ascii="Arial" w:hAnsi="Arial" w:cs="Arial"/>
                <w:sz w:val="22"/>
                <w:szCs w:val="22"/>
                <w:lang w:val="en-GB"/>
              </w:rPr>
            </w:pPr>
            <w:bookmarkStart w:id="485" w:name="_Toc49406285"/>
            <w:bookmarkStart w:id="486" w:name="_Toc49412047"/>
            <w:r>
              <w:rPr>
                <w:rFonts w:cs="Arial" w:ascii="Arial" w:hAnsi="Arial"/>
                <w:b/>
                <w:bCs/>
                <w:sz w:val="22"/>
                <w:szCs w:val="22"/>
                <w:lang w:val="en-GB"/>
              </w:rPr>
              <w:t>ContractAgreement</w:t>
            </w:r>
            <w:r>
              <w:rPr>
                <w:rFonts w:cs="Arial" w:ascii="Arial" w:hAnsi="Arial"/>
                <w:sz w:val="22"/>
                <w:szCs w:val="22"/>
                <w:lang w:val="en-GB"/>
              </w:rPr>
              <w:t xml:space="preserve"> means the Agreement entered into between the Procuring Entity and the Supplier, together with the Contract Documents referred to therein, including all attachments, appendices, and all documents incorporated by reference therein</w:t>
            </w:r>
            <w:bookmarkEnd w:id="485"/>
            <w:bookmarkEnd w:id="486"/>
            <w:r>
              <w:rPr>
                <w:rFonts w:cs="Arial" w:ascii="Arial" w:hAnsi="Arial"/>
                <w:sz w:val="22"/>
                <w:szCs w:val="22"/>
                <w:lang w:val="en-GB"/>
              </w:rPr>
              <w:t>;</w:t>
            </w:r>
          </w:p>
          <w:p>
            <w:pPr>
              <w:pStyle w:val="Normal"/>
              <w:widowControl w:val="false"/>
              <w:numPr>
                <w:ilvl w:val="2"/>
                <w:numId w:val="48"/>
              </w:numPr>
              <w:tabs>
                <w:tab w:val="clear" w:pos="720"/>
                <w:tab w:val="left" w:pos="1170" w:leader="none"/>
              </w:tabs>
              <w:spacing w:before="100" w:after="100"/>
              <w:ind w:left="1197" w:hanging="630"/>
              <w:jc w:val="both"/>
              <w:rPr>
                <w:rFonts w:ascii="Arial" w:hAnsi="Arial" w:cs="Arial"/>
                <w:sz w:val="22"/>
                <w:szCs w:val="22"/>
                <w:lang w:val="en-GB"/>
              </w:rPr>
            </w:pPr>
            <w:bookmarkStart w:id="487" w:name="_Toc49406286"/>
            <w:bookmarkStart w:id="488" w:name="_Toc49412048"/>
            <w:r>
              <w:rPr>
                <w:rFonts w:cs="Arial" w:ascii="Arial" w:hAnsi="Arial"/>
                <w:b/>
                <w:bCs/>
                <w:sz w:val="22"/>
                <w:szCs w:val="22"/>
                <w:lang w:val="en-GB"/>
              </w:rPr>
              <w:t>Contract Documents</w:t>
            </w:r>
            <w:r>
              <w:rPr>
                <w:rFonts w:cs="Arial" w:ascii="Arial" w:hAnsi="Arial"/>
                <w:sz w:val="22"/>
                <w:szCs w:val="22"/>
                <w:lang w:val="en-GB"/>
              </w:rPr>
              <w:t xml:space="preserve"> means the documents listed in the Contract Agreement, including any amendments thereto</w:t>
            </w:r>
            <w:bookmarkEnd w:id="487"/>
            <w:bookmarkEnd w:id="488"/>
            <w:r>
              <w:rPr>
                <w:rFonts w:cs="Arial" w:ascii="Arial" w:hAnsi="Arial"/>
                <w:sz w:val="22"/>
                <w:szCs w:val="22"/>
                <w:lang w:val="en-GB"/>
              </w:rPr>
              <w:t>;</w:t>
            </w:r>
          </w:p>
          <w:p>
            <w:pPr>
              <w:pStyle w:val="Normal"/>
              <w:widowControl w:val="false"/>
              <w:numPr>
                <w:ilvl w:val="2"/>
                <w:numId w:val="48"/>
              </w:numPr>
              <w:tabs>
                <w:tab w:val="clear" w:pos="720"/>
                <w:tab w:val="left" w:pos="1197" w:leader="none"/>
              </w:tabs>
              <w:spacing w:before="100" w:after="100"/>
              <w:ind w:left="1197" w:hanging="630"/>
              <w:jc w:val="both"/>
              <w:rPr>
                <w:rFonts w:ascii="Arial" w:hAnsi="Arial" w:cs="Arial"/>
                <w:sz w:val="22"/>
                <w:szCs w:val="22"/>
                <w:lang w:val="en-GB"/>
              </w:rPr>
            </w:pPr>
            <w:bookmarkStart w:id="489" w:name="_Toc49406287"/>
            <w:bookmarkStart w:id="490" w:name="_Toc49412049"/>
            <w:bookmarkEnd w:id="489"/>
            <w:bookmarkEnd w:id="490"/>
            <w:r>
              <w:rPr>
                <w:rFonts w:cs="Arial" w:ascii="Arial" w:hAnsi="Arial"/>
                <w:b/>
                <w:bCs/>
                <w:sz w:val="22"/>
                <w:szCs w:val="22"/>
                <w:lang w:val="en-GB"/>
              </w:rPr>
              <w:t>Contract Price</w:t>
            </w:r>
            <w:r>
              <w:rPr>
                <w:rFonts w:cs="Arial" w:ascii="Arial" w:hAnsi="Arial"/>
                <w:sz w:val="22"/>
                <w:szCs w:val="22"/>
              </w:rPr>
              <w:t>means the price stated in the Notification of Award and thereafter as adjusted in accordance with the provisions of the Contract;</w:t>
            </w:r>
          </w:p>
          <w:p>
            <w:pPr>
              <w:pStyle w:val="Normal"/>
              <w:widowControl w:val="false"/>
              <w:numPr>
                <w:ilvl w:val="2"/>
                <w:numId w:val="48"/>
              </w:numPr>
              <w:tabs>
                <w:tab w:val="clear" w:pos="720"/>
                <w:tab w:val="left" w:pos="1197" w:leader="none"/>
              </w:tabs>
              <w:spacing w:before="100" w:after="100"/>
              <w:ind w:left="1197" w:hanging="630"/>
              <w:jc w:val="both"/>
              <w:rPr>
                <w:rFonts w:ascii="Arial" w:hAnsi="Arial" w:cs="Arial"/>
                <w:sz w:val="22"/>
                <w:szCs w:val="22"/>
                <w:lang w:val="en-GB"/>
              </w:rPr>
            </w:pPr>
            <w:r>
              <w:rPr>
                <w:rFonts w:cs="Arial" w:ascii="Arial" w:hAnsi="Arial"/>
                <w:b/>
                <w:bCs/>
                <w:sz w:val="22"/>
                <w:szCs w:val="22"/>
                <w:lang w:val="en-GB"/>
              </w:rPr>
              <w:t xml:space="preserve">Cost </w:t>
            </w:r>
            <w:r>
              <w:rPr>
                <w:rFonts w:cs="Arial" w:ascii="Arial" w:hAnsi="Arial"/>
                <w:bCs/>
                <w:sz w:val="22"/>
                <w:szCs w:val="22"/>
                <w:lang w:val="en-GB"/>
              </w:rPr>
              <w:t xml:space="preserve">means all expenditures reasonably incurred or to be incurred by the Contractor, whether on or off the point of delivery, including overhead, </w:t>
            </w:r>
            <w:r>
              <w:rPr>
                <w:rFonts w:cs="Arial" w:ascii="Arial" w:hAnsi="Arial"/>
                <w:sz w:val="22"/>
                <w:szCs w:val="22"/>
                <w:lang w:val="en-GB"/>
              </w:rPr>
              <w:t>taxes, duties, fees and such other similar levies including corresponding incidental charges and premiums for banking and insurances, as applicable.</w:t>
            </w:r>
          </w:p>
          <w:p>
            <w:pPr>
              <w:pStyle w:val="Normal"/>
              <w:widowControl w:val="false"/>
              <w:numPr>
                <w:ilvl w:val="2"/>
                <w:numId w:val="48"/>
              </w:numPr>
              <w:tabs>
                <w:tab w:val="clear" w:pos="720"/>
                <w:tab w:val="left" w:pos="1197" w:leader="none"/>
              </w:tabs>
              <w:spacing w:before="100" w:after="100"/>
              <w:ind w:left="1197" w:hanging="630"/>
              <w:jc w:val="both"/>
              <w:rPr>
                <w:rFonts w:ascii="Arial" w:hAnsi="Arial" w:cs="Arial"/>
                <w:sz w:val="22"/>
                <w:szCs w:val="22"/>
                <w:lang w:val="en-GB"/>
              </w:rPr>
            </w:pPr>
            <w:bookmarkStart w:id="491" w:name="_Toc494062871"/>
            <w:bookmarkStart w:id="492" w:name="_Toc494120491"/>
            <w:bookmarkStart w:id="493" w:name="_Toc49412050"/>
            <w:bookmarkStart w:id="494" w:name="_Toc49406288"/>
            <w:bookmarkEnd w:id="491"/>
            <w:bookmarkEnd w:id="492"/>
            <w:r>
              <w:rPr>
                <w:rFonts w:cs="Arial" w:ascii="Arial" w:hAnsi="Arial"/>
                <w:b/>
                <w:bCs/>
                <w:sz w:val="22"/>
                <w:szCs w:val="22"/>
                <w:lang w:val="en-GB"/>
              </w:rPr>
              <w:t>Day</w:t>
            </w:r>
            <w:r>
              <w:rPr>
                <w:rFonts w:cs="Arial" w:ascii="Arial" w:hAnsi="Arial"/>
                <w:sz w:val="22"/>
                <w:szCs w:val="22"/>
              </w:rPr>
              <w:t>means calendar days unless otherwise specified as working days</w:t>
            </w:r>
            <w:bookmarkEnd w:id="493"/>
            <w:bookmarkEnd w:id="494"/>
            <w:r>
              <w:rPr>
                <w:rFonts w:cs="Arial" w:ascii="Arial" w:hAnsi="Arial"/>
                <w:sz w:val="22"/>
                <w:szCs w:val="22"/>
                <w:lang w:val="en-GB"/>
              </w:rPr>
              <w:t>;</w:t>
            </w:r>
          </w:p>
          <w:p>
            <w:pPr>
              <w:pStyle w:val="Normal"/>
              <w:widowControl w:val="false"/>
              <w:numPr>
                <w:ilvl w:val="2"/>
                <w:numId w:val="48"/>
              </w:numPr>
              <w:tabs>
                <w:tab w:val="clear" w:pos="720"/>
                <w:tab w:val="left" w:pos="1170" w:leader="none"/>
              </w:tabs>
              <w:spacing w:before="100" w:after="100"/>
              <w:ind w:left="1197" w:hanging="630"/>
              <w:jc w:val="both"/>
              <w:rPr>
                <w:rFonts w:ascii="Arial" w:hAnsi="Arial" w:cs="Arial"/>
                <w:sz w:val="22"/>
                <w:szCs w:val="22"/>
                <w:lang w:val="en-GB"/>
              </w:rPr>
            </w:pPr>
            <w:bookmarkStart w:id="495" w:name="_Toc49406289"/>
            <w:bookmarkStart w:id="496" w:name="_Toc49412051"/>
            <w:r>
              <w:rPr>
                <w:rFonts w:cs="Arial" w:ascii="Arial" w:hAnsi="Arial"/>
                <w:b/>
                <w:bCs/>
                <w:sz w:val="22"/>
                <w:szCs w:val="22"/>
                <w:lang w:val="en-GB"/>
              </w:rPr>
              <w:t>Delivery</w:t>
            </w:r>
            <w:r>
              <w:rPr>
                <w:rFonts w:cs="Arial" w:ascii="Arial" w:hAnsi="Arial"/>
                <w:sz w:val="22"/>
                <w:szCs w:val="22"/>
                <w:lang w:val="en-GB"/>
              </w:rPr>
              <w:t xml:space="preserve"> means the transfer of ownership of the Goods from the Supplier to the Procuring Entity in accordance with the terms and conditions set forth in the Contract</w:t>
            </w:r>
            <w:bookmarkEnd w:id="495"/>
            <w:bookmarkEnd w:id="496"/>
            <w:r>
              <w:rPr>
                <w:rFonts w:cs="Arial" w:ascii="Arial" w:hAnsi="Arial"/>
                <w:sz w:val="22"/>
                <w:szCs w:val="22"/>
                <w:lang w:val="en-GB"/>
              </w:rPr>
              <w:t>;</w:t>
            </w:r>
          </w:p>
          <w:p>
            <w:pPr>
              <w:pStyle w:val="Normal"/>
              <w:widowControl w:val="false"/>
              <w:numPr>
                <w:ilvl w:val="2"/>
                <w:numId w:val="48"/>
              </w:numPr>
              <w:tabs>
                <w:tab w:val="clear" w:pos="720"/>
                <w:tab w:val="left" w:pos="1170" w:leader="none"/>
              </w:tabs>
              <w:spacing w:before="100" w:after="100"/>
              <w:ind w:left="1197" w:hanging="630"/>
              <w:jc w:val="both"/>
              <w:rPr>
                <w:rFonts w:ascii="Arial" w:hAnsi="Arial" w:cs="Arial"/>
                <w:sz w:val="22"/>
                <w:szCs w:val="22"/>
              </w:rPr>
            </w:pPr>
            <w:r>
              <w:rPr>
                <w:rFonts w:cs="Arial" w:ascii="Arial" w:hAnsi="Arial"/>
                <w:b/>
                <w:bCs/>
                <w:sz w:val="22"/>
                <w:szCs w:val="22"/>
                <w:lang w:val="en-GB"/>
              </w:rPr>
              <w:t xml:space="preserve">Force Majeure </w:t>
            </w:r>
            <w:r>
              <w:rPr>
                <w:rFonts w:cs="Arial" w:ascii="Arial" w:hAnsi="Arial"/>
                <w:sz w:val="22"/>
                <w:szCs w:val="22"/>
              </w:rPr>
              <w:t>means an event or situation beyond the control of the Supplier that is not foreseeable, is unavoidable, and its origins not due to negligence or lack of care on the part of the Contractor; such events may include, but not be limited to, acts of the Government in its sovereign capacity, wars or revolutions, fires, floods, epidemics, quarantine restrictions, and freight embargoes</w:t>
            </w:r>
            <w:r>
              <w:rPr>
                <w:rFonts w:cs="Arial" w:ascii="Arial" w:hAnsi="Arial"/>
                <w:bCs/>
                <w:sz w:val="22"/>
                <w:szCs w:val="22"/>
                <w:lang w:val="en-GB"/>
              </w:rPr>
              <w:t xml:space="preserve"> or more as included in GCC Clause 36</w:t>
            </w:r>
            <w:r>
              <w:rPr>
                <w:rFonts w:cs="Arial" w:ascii="Arial" w:hAnsi="Arial"/>
                <w:sz w:val="22"/>
                <w:szCs w:val="22"/>
              </w:rPr>
              <w:t>;</w:t>
            </w:r>
          </w:p>
          <w:p>
            <w:pPr>
              <w:pStyle w:val="Normal"/>
              <w:widowControl w:val="false"/>
              <w:numPr>
                <w:ilvl w:val="2"/>
                <w:numId w:val="48"/>
              </w:numPr>
              <w:tabs>
                <w:tab w:val="clear" w:pos="720"/>
                <w:tab w:val="left" w:pos="1170" w:leader="none"/>
              </w:tabs>
              <w:spacing w:before="100" w:after="100"/>
              <w:ind w:left="1197" w:hanging="630"/>
              <w:jc w:val="both"/>
              <w:rPr>
                <w:rFonts w:ascii="Arial" w:hAnsi="Arial" w:cs="Arial"/>
                <w:sz w:val="22"/>
                <w:szCs w:val="22"/>
                <w:lang w:val="en-GB"/>
              </w:rPr>
            </w:pPr>
            <w:bookmarkStart w:id="497" w:name="_Toc49406291"/>
            <w:bookmarkStart w:id="498" w:name="_Toc49412053"/>
            <w:r>
              <w:rPr>
                <w:rFonts w:cs="Arial" w:ascii="Arial" w:hAnsi="Arial"/>
                <w:b/>
                <w:bCs/>
                <w:sz w:val="22"/>
                <w:szCs w:val="22"/>
                <w:lang w:val="en-GB"/>
              </w:rPr>
              <w:t>GCC</w:t>
            </w:r>
            <w:r>
              <w:rPr>
                <w:rFonts w:cs="Arial" w:ascii="Arial" w:hAnsi="Arial"/>
                <w:sz w:val="22"/>
                <w:szCs w:val="22"/>
                <w:lang w:val="en-GB"/>
              </w:rPr>
              <w:t xml:space="preserve"> mean the General Conditions of Contract</w:t>
            </w:r>
            <w:bookmarkEnd w:id="497"/>
            <w:bookmarkEnd w:id="498"/>
            <w:r>
              <w:rPr>
                <w:rFonts w:cs="Arial" w:ascii="Arial" w:hAnsi="Arial"/>
                <w:sz w:val="22"/>
                <w:szCs w:val="22"/>
                <w:lang w:val="en-GB"/>
              </w:rPr>
              <w:t>;</w:t>
            </w:r>
          </w:p>
          <w:p>
            <w:pPr>
              <w:pStyle w:val="Normal"/>
              <w:widowControl w:val="false"/>
              <w:numPr>
                <w:ilvl w:val="2"/>
                <w:numId w:val="48"/>
              </w:numPr>
              <w:tabs>
                <w:tab w:val="clear" w:pos="720"/>
                <w:tab w:val="left" w:pos="1197" w:leader="none"/>
              </w:tabs>
              <w:spacing w:before="100" w:after="100"/>
              <w:ind w:left="1197" w:hanging="630"/>
              <w:jc w:val="both"/>
              <w:rPr>
                <w:rFonts w:ascii="Arial" w:hAnsi="Arial" w:cs="Arial"/>
                <w:b/>
                <w:b/>
                <w:sz w:val="22"/>
                <w:szCs w:val="22"/>
                <w:lang w:val="en-GB"/>
              </w:rPr>
            </w:pPr>
            <w:bookmarkStart w:id="499" w:name="_Toc49412054"/>
            <w:bookmarkStart w:id="500" w:name="_Toc49406292"/>
            <w:r>
              <w:rPr>
                <w:rFonts w:cs="Arial" w:ascii="Arial" w:hAnsi="Arial"/>
                <w:b/>
                <w:bCs/>
                <w:sz w:val="22"/>
                <w:szCs w:val="22"/>
                <w:lang w:val="en-GB"/>
              </w:rPr>
              <w:t>Goods</w:t>
            </w:r>
            <w:r>
              <w:rPr>
                <w:rFonts w:cs="Arial" w:ascii="Arial" w:hAnsi="Arial"/>
                <w:sz w:val="22"/>
                <w:szCs w:val="22"/>
              </w:rPr>
              <w:t>means raw materials, products and equipment and objects in solid, liquid or gaseous form, electricity, and related Services if the value of such Services does not exceed that of the Goods themselves</w:t>
            </w:r>
            <w:r>
              <w:rPr>
                <w:rFonts w:cs="Arial" w:ascii="Arial" w:hAnsi="Arial"/>
                <w:sz w:val="22"/>
                <w:szCs w:val="22"/>
                <w:lang w:val="en-GB"/>
              </w:rPr>
              <w:t>;</w:t>
            </w:r>
            <w:bookmarkEnd w:id="499"/>
            <w:bookmarkEnd w:id="500"/>
          </w:p>
          <w:p>
            <w:pPr>
              <w:pStyle w:val="Normal"/>
              <w:widowControl w:val="false"/>
              <w:numPr>
                <w:ilvl w:val="2"/>
                <w:numId w:val="48"/>
              </w:numPr>
              <w:tabs>
                <w:tab w:val="clear" w:pos="720"/>
                <w:tab w:val="left" w:pos="1197" w:leader="none"/>
              </w:tabs>
              <w:spacing w:before="100" w:after="100"/>
              <w:ind w:left="1197" w:hanging="630"/>
              <w:jc w:val="both"/>
              <w:rPr>
                <w:rFonts w:ascii="Arial" w:hAnsi="Arial" w:cs="Arial"/>
                <w:sz w:val="22"/>
                <w:szCs w:val="22"/>
                <w:lang w:val="en-GB"/>
              </w:rPr>
            </w:pPr>
            <w:bookmarkStart w:id="501" w:name="_Toc49406293"/>
            <w:bookmarkStart w:id="502" w:name="_Toc49412055"/>
            <w:r>
              <w:rPr>
                <w:rFonts w:cs="Arial" w:ascii="Arial" w:hAnsi="Arial"/>
                <w:b/>
                <w:bCs/>
                <w:sz w:val="22"/>
                <w:szCs w:val="22"/>
                <w:lang w:val="en-GB"/>
              </w:rPr>
              <w:t>Government</w:t>
            </w:r>
            <w:r>
              <w:rPr>
                <w:rFonts w:cs="Arial" w:ascii="Arial" w:hAnsi="Arial"/>
                <w:sz w:val="22"/>
                <w:szCs w:val="22"/>
                <w:lang w:val="en-GB"/>
              </w:rPr>
              <w:t xml:space="preserve"> means the Government of the People’s Republic of Bangladesh</w:t>
            </w:r>
            <w:bookmarkEnd w:id="501"/>
            <w:bookmarkEnd w:id="502"/>
            <w:r>
              <w:rPr>
                <w:rFonts w:cs="Arial" w:ascii="Arial" w:hAnsi="Arial"/>
                <w:sz w:val="22"/>
                <w:szCs w:val="22"/>
                <w:lang w:val="en-GB"/>
              </w:rPr>
              <w:t>;</w:t>
            </w:r>
          </w:p>
          <w:p>
            <w:pPr>
              <w:pStyle w:val="Normal"/>
              <w:widowControl w:val="false"/>
              <w:spacing w:before="100" w:after="100"/>
              <w:ind w:left="567" w:hanging="0"/>
              <w:jc w:val="both"/>
              <w:rPr>
                <w:rFonts w:ascii="Arial" w:hAnsi="Arial" w:cs="Arial"/>
                <w:sz w:val="14"/>
                <w:szCs w:val="22"/>
                <w:lang w:val="en-GB"/>
              </w:rPr>
            </w:pPr>
            <w:r>
              <w:rPr>
                <w:rFonts w:cs="Arial" w:ascii="Arial" w:hAnsi="Arial"/>
                <w:sz w:val="14"/>
                <w:szCs w:val="22"/>
                <w:lang w:val="en-GB"/>
              </w:rPr>
            </w:r>
          </w:p>
          <w:p>
            <w:pPr>
              <w:pStyle w:val="Normal"/>
              <w:widowControl w:val="false"/>
              <w:numPr>
                <w:ilvl w:val="2"/>
                <w:numId w:val="48"/>
              </w:numPr>
              <w:tabs>
                <w:tab w:val="clear" w:pos="720"/>
                <w:tab w:val="left" w:pos="1197" w:leader="none"/>
              </w:tabs>
              <w:spacing w:before="100" w:after="100"/>
              <w:ind w:left="1197" w:hanging="630"/>
              <w:jc w:val="both"/>
              <w:rPr>
                <w:rFonts w:ascii="Arial" w:hAnsi="Arial" w:cs="Arial"/>
                <w:sz w:val="22"/>
                <w:szCs w:val="22"/>
                <w:lang w:val="en-GB"/>
              </w:rPr>
            </w:pPr>
            <w:r>
              <w:rPr>
                <w:rFonts w:cs="Arial" w:ascii="Arial" w:hAnsi="Arial"/>
                <w:b/>
                <w:bCs/>
                <w:sz w:val="22"/>
                <w:szCs w:val="22"/>
                <w:lang w:val="en-GB"/>
              </w:rPr>
              <w:t xml:space="preserve">Head of the Procuring Entity </w:t>
            </w:r>
            <w:r>
              <w:rPr>
                <w:rFonts w:cs="Arial" w:ascii="Arial" w:hAnsi="Arial"/>
                <w:sz w:val="22"/>
                <w:szCs w:val="22"/>
              </w:rPr>
              <w:t>means the Secretary of a Ministry or a Division, the Head of a Government Department or Directorate; or the Chief Executive; or as applicable, Divisional Commissioner, Deputy Commissioner, Zilla Judge;or by whatever designation called, of a local Government agency, an autonomous or semi-autonomous body or a corporation, or a corporate body established under the Companies Act;</w:t>
            </w:r>
          </w:p>
          <w:p>
            <w:pPr>
              <w:pStyle w:val="Normal"/>
              <w:widowControl w:val="false"/>
              <w:numPr>
                <w:ilvl w:val="2"/>
                <w:numId w:val="48"/>
              </w:numPr>
              <w:tabs>
                <w:tab w:val="clear" w:pos="720"/>
                <w:tab w:val="left" w:pos="1197" w:leader="none"/>
              </w:tabs>
              <w:spacing w:before="100" w:after="100"/>
              <w:ind w:left="1197" w:hanging="630"/>
              <w:jc w:val="both"/>
              <w:rPr>
                <w:rFonts w:ascii="Arial" w:hAnsi="Arial" w:cs="Arial"/>
                <w:sz w:val="22"/>
                <w:szCs w:val="22"/>
                <w:lang w:val="en-GB"/>
              </w:rPr>
            </w:pPr>
            <w:bookmarkStart w:id="503" w:name="_Toc49406294"/>
            <w:bookmarkStart w:id="504" w:name="_Toc49412056"/>
            <w:r>
              <w:rPr>
                <w:rFonts w:cs="Arial" w:ascii="Arial" w:hAnsi="Arial"/>
                <w:b/>
                <w:bCs/>
                <w:sz w:val="22"/>
                <w:szCs w:val="22"/>
                <w:lang w:val="en-GB"/>
              </w:rPr>
              <w:t>Procuring Entity</w:t>
            </w:r>
            <w:r>
              <w:rPr>
                <w:rFonts w:cs="Arial" w:ascii="Arial" w:hAnsi="Arial"/>
                <w:sz w:val="22"/>
                <w:szCs w:val="22"/>
                <w:lang w:val="en-GB"/>
              </w:rPr>
              <w:t xml:space="preserve"> means</w:t>
            </w:r>
            <w:r>
              <w:rPr>
                <w:rFonts w:cs="Arial" w:ascii="Arial" w:hAnsi="Arial"/>
                <w:sz w:val="22"/>
                <w:szCs w:val="22"/>
              </w:rPr>
              <w:t xml:space="preserve"> a Entity having administrative and financial powers to undertake Procurement of Goods, Works or Services using public funds</w:t>
            </w:r>
            <w:r>
              <w:fldChar w:fldCharType="begin"/>
            </w:r>
            <w:r>
              <w:rPr>
                <w:sz w:val="22"/>
                <w:szCs w:val="22"/>
                <w:rFonts w:cs="Arial" w:ascii="Arial" w:hAnsi="Arial"/>
              </w:rPr>
              <w:instrText> XE "public funds: : " </w:instrText>
            </w:r>
            <w:r>
              <w:rPr>
                <w:sz w:val="22"/>
                <w:szCs w:val="22"/>
                <w:rFonts w:cs="Arial" w:ascii="Arial" w:hAnsi="Arial"/>
              </w:rPr>
              <w:fldChar w:fldCharType="separate"/>
            </w:r>
            <w:r>
              <w:rPr>
                <w:rFonts w:cs="Arial" w:ascii="Arial" w:hAnsi="Arial"/>
                <w:sz w:val="22"/>
                <w:szCs w:val="22"/>
              </w:rPr>
            </w:r>
            <w:r>
              <w:rPr>
                <w:sz w:val="22"/>
                <w:szCs w:val="22"/>
                <w:rFonts w:cs="Arial" w:ascii="Arial" w:hAnsi="Arial"/>
              </w:rPr>
              <w:fldChar w:fldCharType="end"/>
            </w:r>
            <w:r>
              <w:rPr>
                <w:rFonts w:cs="Arial" w:ascii="Arial" w:hAnsi="Arial"/>
                <w:sz w:val="22"/>
                <w:szCs w:val="22"/>
              </w:rPr>
              <w:t xml:space="preserve">, as specified in the </w:t>
            </w:r>
            <w:r>
              <w:rPr>
                <w:rFonts w:cs="Arial" w:ascii="Arial" w:hAnsi="Arial"/>
                <w:b/>
                <w:sz w:val="22"/>
                <w:szCs w:val="22"/>
              </w:rPr>
              <w:t>PCC</w:t>
            </w:r>
            <w:bookmarkEnd w:id="503"/>
            <w:bookmarkEnd w:id="504"/>
            <w:r>
              <w:rPr>
                <w:rFonts w:cs="Arial" w:ascii="Arial" w:hAnsi="Arial"/>
                <w:sz w:val="22"/>
                <w:szCs w:val="22"/>
                <w:lang w:val="en-GB"/>
              </w:rPr>
              <w:t>;</w:t>
            </w:r>
          </w:p>
          <w:p>
            <w:pPr>
              <w:pStyle w:val="Normal"/>
              <w:widowControl w:val="false"/>
              <w:numPr>
                <w:ilvl w:val="2"/>
                <w:numId w:val="48"/>
              </w:numPr>
              <w:tabs>
                <w:tab w:val="clear" w:pos="720"/>
                <w:tab w:val="left" w:pos="1197" w:leader="none"/>
              </w:tabs>
              <w:spacing w:before="100" w:after="100"/>
              <w:ind w:left="1197" w:hanging="630"/>
              <w:jc w:val="both"/>
              <w:rPr>
                <w:rFonts w:ascii="Arial" w:hAnsi="Arial" w:cs="Arial"/>
                <w:sz w:val="22"/>
                <w:szCs w:val="22"/>
                <w:lang w:val="en-GB"/>
              </w:rPr>
            </w:pPr>
            <w:bookmarkStart w:id="505" w:name="_Toc49412057"/>
            <w:bookmarkStart w:id="506" w:name="_Toc49406295"/>
            <w:r>
              <w:rPr>
                <w:rFonts w:cs="Arial" w:ascii="Arial" w:hAnsi="Arial"/>
                <w:b/>
                <w:bCs/>
                <w:sz w:val="22"/>
                <w:szCs w:val="22"/>
                <w:lang w:val="en-GB"/>
              </w:rPr>
              <w:t>Related Services</w:t>
            </w:r>
            <w:r>
              <w:rPr>
                <w:rFonts w:cs="Arial" w:ascii="Arial" w:hAnsi="Arial"/>
                <w:sz w:val="22"/>
                <w:szCs w:val="22"/>
              </w:rPr>
              <w:t>means Services linked to the supply of Goods contracts</w:t>
            </w:r>
            <w:bookmarkEnd w:id="505"/>
            <w:bookmarkEnd w:id="506"/>
            <w:r>
              <w:rPr>
                <w:rFonts w:cs="Arial" w:ascii="Arial" w:hAnsi="Arial"/>
                <w:sz w:val="22"/>
                <w:szCs w:val="22"/>
                <w:lang w:val="en-GB"/>
              </w:rPr>
              <w:t>;</w:t>
            </w:r>
          </w:p>
          <w:p>
            <w:pPr>
              <w:pStyle w:val="Normal"/>
              <w:widowControl w:val="false"/>
              <w:numPr>
                <w:ilvl w:val="2"/>
                <w:numId w:val="48"/>
              </w:numPr>
              <w:tabs>
                <w:tab w:val="clear" w:pos="720"/>
                <w:tab w:val="left" w:pos="1197" w:leader="none"/>
              </w:tabs>
              <w:spacing w:before="100" w:after="100"/>
              <w:ind w:left="1197" w:hanging="630"/>
              <w:jc w:val="both"/>
              <w:rPr>
                <w:rFonts w:ascii="Arial" w:hAnsi="Arial" w:cs="Arial"/>
                <w:sz w:val="22"/>
                <w:szCs w:val="22"/>
                <w:lang w:val="en-GB"/>
              </w:rPr>
            </w:pPr>
            <w:bookmarkStart w:id="507" w:name="_Toc49406296"/>
            <w:bookmarkStart w:id="508" w:name="_Toc49412058"/>
            <w:r>
              <w:rPr>
                <w:rFonts w:cs="Arial" w:ascii="Arial" w:hAnsi="Arial"/>
                <w:b/>
                <w:bCs/>
                <w:sz w:val="22"/>
                <w:szCs w:val="22"/>
                <w:lang w:val="en-GB"/>
              </w:rPr>
              <w:t>PCC</w:t>
            </w:r>
            <w:r>
              <w:rPr>
                <w:rFonts w:cs="Arial" w:ascii="Arial" w:hAnsi="Arial"/>
                <w:sz w:val="22"/>
                <w:szCs w:val="22"/>
                <w:lang w:val="en-GB"/>
              </w:rPr>
              <w:t xml:space="preserve"> means the Particular Conditions of Contract</w:t>
            </w:r>
            <w:bookmarkEnd w:id="507"/>
            <w:bookmarkEnd w:id="508"/>
            <w:r>
              <w:rPr>
                <w:rFonts w:cs="Arial" w:ascii="Arial" w:hAnsi="Arial"/>
                <w:sz w:val="22"/>
                <w:szCs w:val="22"/>
                <w:lang w:val="en-GB"/>
              </w:rPr>
              <w:t>;</w:t>
            </w:r>
          </w:p>
          <w:p>
            <w:pPr>
              <w:pStyle w:val="Normal"/>
              <w:widowControl w:val="false"/>
              <w:numPr>
                <w:ilvl w:val="2"/>
                <w:numId w:val="48"/>
              </w:numPr>
              <w:tabs>
                <w:tab w:val="clear" w:pos="720"/>
                <w:tab w:val="left" w:pos="1197" w:leader="none"/>
              </w:tabs>
              <w:spacing w:before="100" w:after="100"/>
              <w:ind w:left="1197" w:hanging="630"/>
              <w:jc w:val="both"/>
              <w:rPr>
                <w:rFonts w:ascii="Arial" w:hAnsi="Arial" w:cs="Arial"/>
                <w:i/>
                <w:i/>
                <w:color w:val="339966"/>
                <w:sz w:val="22"/>
                <w:szCs w:val="22"/>
                <w:lang w:val="en-GB"/>
              </w:rPr>
            </w:pPr>
            <w:bookmarkStart w:id="509" w:name="_Toc49406297"/>
            <w:bookmarkStart w:id="510" w:name="_Toc49412059"/>
            <w:r>
              <w:rPr>
                <w:rFonts w:cs="Arial" w:ascii="Arial" w:hAnsi="Arial"/>
                <w:b/>
                <w:bCs/>
                <w:sz w:val="22"/>
                <w:szCs w:val="22"/>
                <w:lang w:val="en-GB"/>
              </w:rPr>
              <w:t>Subcontractor</w:t>
            </w:r>
            <w:bookmarkEnd w:id="509"/>
            <w:bookmarkEnd w:id="510"/>
            <w:r>
              <w:rPr>
                <w:rFonts w:cs="Arial" w:ascii="Arial" w:hAnsi="Arial"/>
                <w:sz w:val="22"/>
                <w:szCs w:val="22"/>
              </w:rPr>
              <w:t>means any natural person, private or government entity, or a combination of the above, to whom any part of the Goods to be supplied or execution of any part of the Related Services is subcontracted by the Supplier;</w:t>
            </w:r>
          </w:p>
          <w:p>
            <w:pPr>
              <w:pStyle w:val="Normal"/>
              <w:widowControl w:val="false"/>
              <w:numPr>
                <w:ilvl w:val="2"/>
                <w:numId w:val="48"/>
              </w:numPr>
              <w:tabs>
                <w:tab w:val="clear" w:pos="720"/>
                <w:tab w:val="left" w:pos="1197" w:leader="none"/>
              </w:tabs>
              <w:spacing w:before="100" w:after="100"/>
              <w:ind w:left="1197" w:hanging="630"/>
              <w:jc w:val="both"/>
              <w:rPr>
                <w:rFonts w:ascii="Arial" w:hAnsi="Arial" w:cs="Arial"/>
                <w:sz w:val="22"/>
                <w:szCs w:val="22"/>
                <w:lang w:val="en-GB"/>
              </w:rPr>
            </w:pPr>
            <w:bookmarkStart w:id="511" w:name="_Toc49406298"/>
            <w:bookmarkStart w:id="512" w:name="_Toc49412060"/>
            <w:r>
              <w:rPr>
                <w:rFonts w:cs="Arial" w:ascii="Arial" w:hAnsi="Arial"/>
                <w:b/>
                <w:bCs/>
                <w:sz w:val="22"/>
                <w:szCs w:val="22"/>
                <w:lang w:val="en-GB"/>
              </w:rPr>
              <w:t>Supplier</w:t>
            </w:r>
            <w:r>
              <w:rPr>
                <w:rFonts w:cs="Arial" w:ascii="Arial" w:hAnsi="Arial"/>
                <w:sz w:val="22"/>
                <w:szCs w:val="22"/>
              </w:rPr>
              <w:t xml:space="preserve">means a Person under contract with a Procuring Entity </w:t>
            </w:r>
            <w:r>
              <w:rPr>
                <w:rFonts w:cs="Arial" w:ascii="Arial" w:hAnsi="Arial"/>
                <w:bCs/>
                <w:sz w:val="22"/>
                <w:szCs w:val="22"/>
              </w:rPr>
              <w:t>for the supply of Goods and related services under the Act</w:t>
            </w:r>
            <w:bookmarkEnd w:id="511"/>
            <w:bookmarkEnd w:id="512"/>
            <w:r>
              <w:rPr>
                <w:rFonts w:cs="Arial" w:ascii="Arial" w:hAnsi="Arial"/>
                <w:sz w:val="22"/>
                <w:szCs w:val="22"/>
                <w:lang w:val="en-GB"/>
              </w:rPr>
              <w:t>;</w:t>
            </w:r>
          </w:p>
          <w:p>
            <w:pPr>
              <w:pStyle w:val="Normal"/>
              <w:widowControl w:val="false"/>
              <w:numPr>
                <w:ilvl w:val="2"/>
                <w:numId w:val="48"/>
              </w:numPr>
              <w:tabs>
                <w:tab w:val="clear" w:pos="720"/>
                <w:tab w:val="left" w:pos="1197" w:leader="none"/>
              </w:tabs>
              <w:spacing w:before="100" w:after="120"/>
              <w:ind w:left="1196" w:hanging="634"/>
              <w:jc w:val="both"/>
              <w:rPr>
                <w:rFonts w:ascii="Arial" w:hAnsi="Arial" w:cs="Arial"/>
                <w:sz w:val="22"/>
                <w:szCs w:val="22"/>
              </w:rPr>
            </w:pPr>
            <w:r>
              <w:rPr>
                <w:rFonts w:cs="Arial" w:ascii="Arial" w:hAnsi="Arial"/>
                <w:b/>
                <w:bCs/>
                <w:sz w:val="22"/>
                <w:szCs w:val="22"/>
                <w:lang w:val="en-GB"/>
              </w:rPr>
              <w:t>Site</w:t>
            </w:r>
            <w:r>
              <w:rPr>
                <w:rFonts w:cs="Arial" w:ascii="Arial" w:hAnsi="Arial"/>
                <w:sz w:val="22"/>
                <w:szCs w:val="22"/>
              </w:rPr>
              <w:t xml:space="preserve"> means the point(s) of delivery named in the </w:t>
            </w:r>
            <w:r>
              <w:rPr>
                <w:rFonts w:cs="Arial" w:ascii="Arial" w:hAnsi="Arial"/>
                <w:b/>
                <w:sz w:val="22"/>
                <w:szCs w:val="22"/>
              </w:rPr>
              <w:t>PCC</w:t>
            </w:r>
          </w:p>
          <w:p>
            <w:pPr>
              <w:pStyle w:val="ListParagraph"/>
              <w:widowControl w:val="false"/>
              <w:numPr>
                <w:ilvl w:val="2"/>
                <w:numId w:val="48"/>
              </w:numPr>
              <w:tabs>
                <w:tab w:val="clear" w:pos="720"/>
              </w:tabs>
              <w:spacing w:before="120" w:after="120"/>
              <w:ind w:left="1148" w:hanging="540"/>
              <w:jc w:val="both"/>
              <w:rPr>
                <w:rFonts w:ascii="Arial" w:hAnsi="Arial" w:cs="Arial"/>
                <w:sz w:val="22"/>
                <w:szCs w:val="22"/>
                <w:lang w:val="en-GB"/>
              </w:rPr>
            </w:pPr>
            <w:bookmarkStart w:id="513" w:name="_Toc49406300"/>
            <w:bookmarkStart w:id="514" w:name="_Toc49412062"/>
            <w:r>
              <w:rPr>
                <w:rFonts w:cs="Arial" w:ascii="Arial" w:hAnsi="Arial"/>
                <w:b/>
                <w:bCs/>
                <w:sz w:val="22"/>
                <w:szCs w:val="22"/>
                <w:lang w:val="en-GB"/>
              </w:rPr>
              <w:t xml:space="preserve">Writing </w:t>
            </w:r>
            <w:r>
              <w:rPr>
                <w:rFonts w:cs="Arial" w:ascii="Arial" w:hAnsi="Arial"/>
                <w:sz w:val="22"/>
                <w:szCs w:val="22"/>
              </w:rPr>
              <w:t>means communication written by hand or machine duly signed and includes properly authenticated messages by facsimile or electronic mail.</w:t>
            </w:r>
            <w:bookmarkEnd w:id="513"/>
            <w:bookmarkEnd w:id="514"/>
          </w:p>
        </w:tc>
      </w:tr>
      <w:tr>
        <w:trPr>
          <w:trHeight w:val="1332" w:hRule="atLeast"/>
        </w:trPr>
        <w:tc>
          <w:tcPr>
            <w:tcW w:w="2052" w:type="dxa"/>
            <w:vMerge w:val="restart"/>
            <w:tcBorders/>
            <w:shd w:color="auto" w:fill="auto" w:val="clear"/>
          </w:tcPr>
          <w:p>
            <w:pPr>
              <w:pStyle w:val="Normal"/>
              <w:widowControl w:val="false"/>
              <w:numPr>
                <w:ilvl w:val="0"/>
                <w:numId w:val="95"/>
              </w:numPr>
              <w:tabs>
                <w:tab w:val="clear" w:pos="720"/>
                <w:tab w:val="left" w:pos="387" w:leader="none"/>
              </w:tabs>
              <w:spacing w:before="120" w:after="0"/>
              <w:ind w:left="414" w:hanging="342"/>
              <w:outlineLvl w:val="2"/>
              <w:rPr>
                <w:rStyle w:val="Heading3Char"/>
                <w:rFonts w:ascii="Arial" w:hAnsi="Arial"/>
                <w:b/>
                <w:b/>
                <w:bCs w:val="false"/>
                <w:sz w:val="22"/>
                <w:szCs w:val="22"/>
              </w:rPr>
            </w:pPr>
            <w:bookmarkStart w:id="515" w:name="_Toc421454277"/>
            <w:r>
              <w:rPr>
                <w:rStyle w:val="Heading3Char"/>
                <w:rFonts w:ascii="Arial" w:hAnsi="Arial"/>
                <w:b/>
                <w:bCs w:val="false"/>
                <w:sz w:val="22"/>
                <w:szCs w:val="22"/>
              </w:rPr>
              <w:t>Interpretation</w:t>
            </w:r>
            <w:bookmarkEnd w:id="515"/>
          </w:p>
        </w:tc>
        <w:tc>
          <w:tcPr>
            <w:tcW w:w="7559" w:type="dxa"/>
            <w:tcBorders/>
          </w:tcPr>
          <w:p>
            <w:pPr>
              <w:pStyle w:val="SubClauseText"/>
              <w:widowControl w:val="false"/>
              <w:numPr>
                <w:ilvl w:val="0"/>
                <w:numId w:val="112"/>
              </w:numPr>
              <w:tabs>
                <w:tab w:val="clear" w:pos="720"/>
                <w:tab w:val="left" w:pos="495" w:leader="none"/>
              </w:tabs>
              <w:spacing w:before="80" w:after="80"/>
              <w:ind w:left="495" w:hanging="495"/>
              <w:rPr>
                <w:rFonts w:ascii="Arial" w:hAnsi="Arial" w:cs="Arial"/>
                <w:sz w:val="22"/>
                <w:szCs w:val="22"/>
                <w:lang w:val="en-GB"/>
              </w:rPr>
            </w:pPr>
            <w:r>
              <w:rPr>
                <w:rFonts w:cs="Arial" w:ascii="Arial" w:hAnsi="Arial"/>
                <w:sz w:val="22"/>
                <w:szCs w:val="22"/>
                <w:lang w:val="en-GB"/>
              </w:rPr>
              <w:t xml:space="preserve">In interpreting the GCC, singular also means plural, male also means female or neuter, and the other way around.  </w:t>
            </w:r>
            <w:r>
              <w:rPr>
                <w:rFonts w:cs="Arial" w:ascii="Arial" w:hAnsi="Arial"/>
                <w:bCs/>
                <w:sz w:val="22"/>
                <w:szCs w:val="22"/>
                <w:lang w:val="en-GB"/>
              </w:rPr>
              <w:t>Headings in the GCC shall not be deemed part thereof or be taken into consideration in the interpretation or construction thereof or of the Contract.</w:t>
            </w:r>
            <w:r>
              <w:rPr>
                <w:rFonts w:cs="Arial" w:ascii="Arial" w:hAnsi="Arial"/>
                <w:sz w:val="22"/>
                <w:szCs w:val="22"/>
                <w:lang w:val="en-GB"/>
              </w:rPr>
              <w:t xml:space="preserve"> Words have their normal meaning under the English language unless specifically defined.</w:t>
            </w:r>
          </w:p>
        </w:tc>
      </w:tr>
      <w:tr>
        <w:trPr>
          <w:trHeight w:val="1332" w:hRule="atLeast"/>
        </w:trPr>
        <w:tc>
          <w:tcPr>
            <w:tcW w:w="2052" w:type="dxa"/>
            <w:vMerge w:val="continue"/>
            <w:tcBorders/>
            <w:shd w:color="auto" w:fill="auto" w:val="clear"/>
          </w:tcPr>
          <w:p>
            <w:pPr>
              <w:pStyle w:val="Normal"/>
              <w:widowControl w:val="false"/>
              <w:numPr>
                <w:ilvl w:val="0"/>
                <w:numId w:val="0"/>
              </w:numPr>
              <w:spacing w:before="120" w:after="0"/>
              <w:ind w:left="360" w:hanging="0"/>
              <w:outlineLvl w:val="2"/>
              <w:rPr>
                <w:rStyle w:val="Heading3Char"/>
                <w:rFonts w:ascii="Arial" w:hAnsi="Arial"/>
                <w:b/>
                <w:b/>
                <w:bCs w:val="false"/>
                <w:sz w:val="22"/>
                <w:szCs w:val="22"/>
              </w:rPr>
            </w:pPr>
            <w:r>
              <w:rPr>
                <w:rFonts w:ascii="Arial" w:hAnsi="Arial"/>
                <w:b/>
                <w:bCs w:val="false"/>
                <w:sz w:val="22"/>
                <w:szCs w:val="22"/>
              </w:rPr>
            </w:r>
          </w:p>
        </w:tc>
        <w:tc>
          <w:tcPr>
            <w:tcW w:w="7559" w:type="dxa"/>
            <w:tcBorders/>
          </w:tcPr>
          <w:p>
            <w:pPr>
              <w:pStyle w:val="SubClauseText"/>
              <w:widowControl w:val="false"/>
              <w:numPr>
                <w:ilvl w:val="0"/>
                <w:numId w:val="112"/>
              </w:numPr>
              <w:tabs>
                <w:tab w:val="clear" w:pos="720"/>
                <w:tab w:val="left" w:pos="495" w:leader="none"/>
              </w:tabs>
              <w:spacing w:before="80" w:after="80"/>
              <w:ind w:left="720" w:hanging="720"/>
              <w:rPr>
                <w:rFonts w:ascii="Arial" w:hAnsi="Arial" w:cs="Arial"/>
                <w:b/>
                <w:b/>
                <w:sz w:val="22"/>
                <w:szCs w:val="22"/>
                <w:lang w:val="en-GB"/>
              </w:rPr>
            </w:pPr>
            <w:r>
              <w:rPr>
                <w:rFonts w:cs="Arial" w:ascii="Arial" w:hAnsi="Arial"/>
                <w:b/>
                <w:sz w:val="22"/>
                <w:szCs w:val="22"/>
                <w:lang w:val="en-GB"/>
              </w:rPr>
              <w:t>Entire Agreement</w:t>
            </w:r>
          </w:p>
          <w:p>
            <w:pPr>
              <w:pStyle w:val="SubClauseText"/>
              <w:widowControl w:val="false"/>
              <w:tabs>
                <w:tab w:val="clear" w:pos="720"/>
                <w:tab w:val="left" w:pos="495" w:leader="none"/>
              </w:tabs>
              <w:spacing w:before="80" w:after="80"/>
              <w:ind w:left="540" w:hanging="720"/>
              <w:rPr>
                <w:rFonts w:ascii="Arial" w:hAnsi="Arial" w:cs="Arial"/>
                <w:sz w:val="22"/>
                <w:szCs w:val="22"/>
                <w:lang w:val="en-GB"/>
              </w:rPr>
            </w:pPr>
            <w:r>
              <w:rPr>
                <w:rFonts w:cs="Arial" w:ascii="Arial" w:hAnsi="Arial"/>
                <w:sz w:val="22"/>
                <w:szCs w:val="22"/>
                <w:lang w:val="en-GB"/>
              </w:rPr>
              <w:t>(</w:t>
              <w:tab/>
              <w:t>The Contract constitutes the entire agreement between the Procuring Entity and the Supplier and supersedes all communications, negotiations and agreements (whether written or oral) of parties with respect thereto made prior to the date of Contract Agreement; except those stated under GCC Sub Clause 7.1(i).</w:t>
            </w:r>
          </w:p>
        </w:tc>
      </w:tr>
      <w:tr>
        <w:trPr>
          <w:trHeight w:val="1332" w:hRule="atLeast"/>
        </w:trPr>
        <w:tc>
          <w:tcPr>
            <w:tcW w:w="2052" w:type="dxa"/>
            <w:vMerge w:val="continue"/>
            <w:tcBorders/>
            <w:shd w:color="auto" w:fill="auto" w:val="clear"/>
          </w:tcPr>
          <w:p>
            <w:pPr>
              <w:pStyle w:val="Normal"/>
              <w:widowControl w:val="false"/>
              <w:numPr>
                <w:ilvl w:val="0"/>
                <w:numId w:val="0"/>
              </w:numPr>
              <w:spacing w:before="120" w:after="0"/>
              <w:ind w:left="360" w:hanging="0"/>
              <w:outlineLvl w:val="2"/>
              <w:rPr>
                <w:rStyle w:val="Heading3Char"/>
                <w:rFonts w:ascii="Arial" w:hAnsi="Arial"/>
                <w:b/>
                <w:b/>
                <w:bCs w:val="false"/>
                <w:sz w:val="22"/>
                <w:szCs w:val="22"/>
              </w:rPr>
            </w:pPr>
            <w:r>
              <w:rPr>
                <w:rFonts w:ascii="Arial" w:hAnsi="Arial"/>
                <w:b/>
                <w:bCs w:val="false"/>
                <w:sz w:val="22"/>
                <w:szCs w:val="22"/>
              </w:rPr>
            </w:r>
          </w:p>
        </w:tc>
        <w:tc>
          <w:tcPr>
            <w:tcW w:w="7559" w:type="dxa"/>
            <w:tcBorders/>
          </w:tcPr>
          <w:p>
            <w:pPr>
              <w:pStyle w:val="SubClauseText"/>
              <w:widowControl w:val="false"/>
              <w:numPr>
                <w:ilvl w:val="0"/>
                <w:numId w:val="112"/>
              </w:numPr>
              <w:tabs>
                <w:tab w:val="clear" w:pos="720"/>
                <w:tab w:val="left" w:pos="495" w:leader="none"/>
              </w:tabs>
              <w:spacing w:before="80" w:after="80"/>
              <w:ind w:left="720" w:hanging="720"/>
              <w:rPr>
                <w:rFonts w:ascii="Arial" w:hAnsi="Arial" w:cs="Arial"/>
                <w:b/>
                <w:b/>
                <w:sz w:val="22"/>
                <w:szCs w:val="22"/>
                <w:lang w:val="en-GB"/>
              </w:rPr>
            </w:pPr>
            <w:r>
              <w:rPr>
                <w:rFonts w:cs="Arial" w:ascii="Arial" w:hAnsi="Arial"/>
                <w:b/>
                <w:sz w:val="22"/>
                <w:szCs w:val="22"/>
                <w:lang w:val="en-GB"/>
              </w:rPr>
              <w:t>Amendment</w:t>
            </w:r>
          </w:p>
          <w:p>
            <w:pPr>
              <w:pStyle w:val="SubClauseText"/>
              <w:widowControl w:val="false"/>
              <w:tabs>
                <w:tab w:val="clear" w:pos="720"/>
                <w:tab w:val="left" w:pos="495" w:leader="none"/>
              </w:tabs>
              <w:spacing w:before="80" w:after="80"/>
              <w:ind w:left="540" w:hanging="720"/>
              <w:rPr>
                <w:rFonts w:ascii="Arial" w:hAnsi="Arial" w:cs="Arial"/>
                <w:sz w:val="22"/>
                <w:szCs w:val="22"/>
                <w:lang w:val="en-GB"/>
              </w:rPr>
            </w:pPr>
            <w:r>
              <w:rPr>
                <w:rFonts w:cs="Arial" w:ascii="Arial" w:hAnsi="Arial"/>
                <w:sz w:val="22"/>
                <w:szCs w:val="22"/>
                <w:lang w:val="en-GB"/>
              </w:rPr>
              <w:t xml:space="preserve">( </w:t>
              <w:tab/>
              <w:t>No amendment or other variation of the Contract shall be valid unless it is in writing, is dated, expressly refers to the Contract, and is signed by a duly authorised representative of each party thereto.</w:t>
            </w:r>
          </w:p>
        </w:tc>
      </w:tr>
      <w:tr>
        <w:trPr>
          <w:trHeight w:val="1332" w:hRule="atLeast"/>
        </w:trPr>
        <w:tc>
          <w:tcPr>
            <w:tcW w:w="2052" w:type="dxa"/>
            <w:vMerge w:val="continue"/>
            <w:tcBorders/>
            <w:shd w:color="auto" w:fill="auto" w:val="clear"/>
          </w:tcPr>
          <w:p>
            <w:pPr>
              <w:pStyle w:val="Normal"/>
              <w:widowControl w:val="false"/>
              <w:numPr>
                <w:ilvl w:val="0"/>
                <w:numId w:val="0"/>
              </w:numPr>
              <w:spacing w:before="120" w:after="0"/>
              <w:ind w:left="360" w:hanging="0"/>
              <w:outlineLvl w:val="2"/>
              <w:rPr>
                <w:rStyle w:val="Heading3Char"/>
                <w:rFonts w:ascii="Arial" w:hAnsi="Arial"/>
                <w:b/>
                <w:b/>
                <w:bCs w:val="false"/>
                <w:sz w:val="22"/>
                <w:szCs w:val="22"/>
              </w:rPr>
            </w:pPr>
            <w:r>
              <w:rPr>
                <w:rFonts w:ascii="Arial" w:hAnsi="Arial"/>
                <w:b/>
                <w:bCs w:val="false"/>
                <w:sz w:val="22"/>
                <w:szCs w:val="22"/>
              </w:rPr>
            </w:r>
          </w:p>
        </w:tc>
        <w:tc>
          <w:tcPr>
            <w:tcW w:w="7559" w:type="dxa"/>
            <w:tcBorders/>
          </w:tcPr>
          <w:p>
            <w:pPr>
              <w:pStyle w:val="SubClauseText"/>
              <w:widowControl w:val="false"/>
              <w:numPr>
                <w:ilvl w:val="0"/>
                <w:numId w:val="112"/>
              </w:numPr>
              <w:tabs>
                <w:tab w:val="clear" w:pos="720"/>
                <w:tab w:val="left" w:pos="495" w:leader="none"/>
              </w:tabs>
              <w:spacing w:before="80" w:after="80"/>
              <w:ind w:left="720" w:hanging="720"/>
              <w:rPr>
                <w:rFonts w:ascii="Arial" w:hAnsi="Arial" w:cs="Arial"/>
                <w:b/>
                <w:b/>
                <w:sz w:val="22"/>
                <w:szCs w:val="22"/>
                <w:lang w:val="en-GB"/>
              </w:rPr>
            </w:pPr>
            <w:r>
              <w:rPr>
                <w:rFonts w:cs="Arial" w:ascii="Arial" w:hAnsi="Arial"/>
                <w:b/>
                <w:sz w:val="22"/>
                <w:szCs w:val="22"/>
                <w:lang w:val="en-GB"/>
              </w:rPr>
              <w:t>Non-waiver</w:t>
            </w:r>
          </w:p>
          <w:p>
            <w:pPr>
              <w:pStyle w:val="Normal"/>
              <w:widowControl w:val="false"/>
              <w:numPr>
                <w:ilvl w:val="1"/>
                <w:numId w:val="8"/>
              </w:numPr>
              <w:tabs>
                <w:tab w:val="clear" w:pos="720"/>
                <w:tab w:val="left" w:pos="495" w:leader="none"/>
              </w:tabs>
              <w:spacing w:before="80" w:after="80"/>
              <w:ind w:left="1197" w:hanging="720"/>
              <w:jc w:val="both"/>
              <w:rPr>
                <w:rFonts w:ascii="Arial" w:hAnsi="Arial" w:cs="Arial"/>
                <w:sz w:val="22"/>
                <w:szCs w:val="22"/>
                <w:lang w:val="en-GB"/>
              </w:rPr>
            </w:pPr>
            <w:r>
              <w:rPr>
                <w:rFonts w:cs="Arial" w:ascii="Arial" w:hAnsi="Arial"/>
                <w:sz w:val="22"/>
                <w:szCs w:val="22"/>
                <w:lang w:val="en-GB"/>
              </w:rPr>
              <w:t>Subject to GCC Sub Clause 2.4(b),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pPr>
              <w:pStyle w:val="Normal"/>
              <w:widowControl w:val="false"/>
              <w:numPr>
                <w:ilvl w:val="1"/>
                <w:numId w:val="8"/>
              </w:numPr>
              <w:tabs>
                <w:tab w:val="clear" w:pos="720"/>
                <w:tab w:val="left" w:pos="495" w:leader="none"/>
              </w:tabs>
              <w:spacing w:before="80" w:after="80"/>
              <w:ind w:left="1197" w:hanging="720"/>
              <w:jc w:val="both"/>
              <w:rPr>
                <w:rFonts w:ascii="Arial" w:hAnsi="Arial" w:cs="Arial"/>
                <w:sz w:val="22"/>
                <w:szCs w:val="22"/>
                <w:lang w:val="en-GB"/>
              </w:rPr>
            </w:pPr>
            <w:r>
              <w:rPr>
                <w:rFonts w:cs="Arial" w:ascii="Arial" w:hAnsi="Arial"/>
                <w:sz w:val="22"/>
                <w:szCs w:val="22"/>
                <w:lang w:val="en-GB"/>
              </w:rPr>
              <w:t>Any waiver of a party’s rights, powers, or remedies under the Contract must be in writing, dated, and signed by an authorised representative of the party granting such waiver, and must specify the right and the extent to which it is being waived.</w:t>
            </w:r>
          </w:p>
        </w:tc>
      </w:tr>
      <w:tr>
        <w:trPr>
          <w:trHeight w:val="1332" w:hRule="atLeast"/>
        </w:trPr>
        <w:tc>
          <w:tcPr>
            <w:tcW w:w="2052" w:type="dxa"/>
            <w:vMerge w:val="continue"/>
            <w:tcBorders/>
            <w:shd w:color="auto" w:fill="auto" w:val="clear"/>
          </w:tcPr>
          <w:p>
            <w:pPr>
              <w:pStyle w:val="Normal"/>
              <w:widowControl w:val="false"/>
              <w:numPr>
                <w:ilvl w:val="0"/>
                <w:numId w:val="0"/>
              </w:numPr>
              <w:spacing w:before="120" w:after="0"/>
              <w:ind w:left="360" w:hanging="0"/>
              <w:outlineLvl w:val="2"/>
              <w:rPr>
                <w:rStyle w:val="Heading3Char"/>
                <w:rFonts w:ascii="Arial" w:hAnsi="Arial"/>
                <w:b/>
                <w:b/>
                <w:bCs w:val="false"/>
                <w:sz w:val="22"/>
                <w:szCs w:val="22"/>
              </w:rPr>
            </w:pPr>
            <w:r>
              <w:rPr>
                <w:rFonts w:ascii="Arial" w:hAnsi="Arial"/>
                <w:b/>
                <w:bCs w:val="false"/>
                <w:sz w:val="22"/>
                <w:szCs w:val="22"/>
              </w:rPr>
            </w:r>
          </w:p>
        </w:tc>
        <w:tc>
          <w:tcPr>
            <w:tcW w:w="7559" w:type="dxa"/>
            <w:tcBorders/>
          </w:tcPr>
          <w:p>
            <w:pPr>
              <w:pStyle w:val="SubClauseText"/>
              <w:widowControl w:val="false"/>
              <w:numPr>
                <w:ilvl w:val="0"/>
                <w:numId w:val="112"/>
              </w:numPr>
              <w:tabs>
                <w:tab w:val="clear" w:pos="720"/>
                <w:tab w:val="left" w:pos="432" w:leader="none"/>
              </w:tabs>
              <w:spacing w:before="80" w:after="120"/>
              <w:ind w:left="720" w:hanging="720"/>
              <w:rPr>
                <w:rFonts w:ascii="Arial" w:hAnsi="Arial" w:cs="Arial"/>
                <w:b/>
                <w:b/>
                <w:sz w:val="22"/>
                <w:szCs w:val="22"/>
                <w:lang w:val="en-GB"/>
              </w:rPr>
            </w:pPr>
            <w:r>
              <w:rPr>
                <w:rFonts w:cs="Arial" w:ascii="Arial" w:hAnsi="Arial"/>
                <w:b/>
                <w:sz w:val="22"/>
                <w:szCs w:val="22"/>
                <w:lang w:val="en-GB"/>
              </w:rPr>
              <w:t>Severability</w:t>
            </w:r>
          </w:p>
          <w:p>
            <w:pPr>
              <w:pStyle w:val="SubClauseText"/>
              <w:widowControl w:val="false"/>
              <w:spacing w:before="80" w:after="120"/>
              <w:ind w:left="432" w:hanging="4"/>
              <w:rPr>
                <w:rFonts w:ascii="Arial" w:hAnsi="Arial" w:cs="Arial"/>
                <w:sz w:val="22"/>
                <w:szCs w:val="22"/>
                <w:lang w:val="en-GB"/>
              </w:rPr>
            </w:pPr>
            <w:r>
              <w:rPr>
                <w:rFonts w:cs="Arial" w:ascii="Arial" w:hAnsi="Arial"/>
                <w:sz w:val="22"/>
                <w:szCs w:val="22"/>
                <w:lang w:val="en-GB"/>
              </w:rPr>
              <w:t>If any provision or condition of the Contract is prohibited or rendered invalid or unenforceable, such prohibition, invalidity or unenforceability shall not affect the validity or enforceability of any other provisions and conditions of the Contract.</w:t>
            </w:r>
          </w:p>
        </w:tc>
      </w:tr>
      <w:tr>
        <w:trPr>
          <w:trHeight w:val="873" w:hRule="atLeast"/>
        </w:trPr>
        <w:tc>
          <w:tcPr>
            <w:tcW w:w="2052" w:type="dxa"/>
            <w:vMerge w:val="restart"/>
            <w:tcBorders/>
            <w:shd w:color="auto" w:fill="auto" w:val="clear"/>
          </w:tcPr>
          <w:p>
            <w:pPr>
              <w:pStyle w:val="Normal"/>
              <w:widowControl w:val="false"/>
              <w:numPr>
                <w:ilvl w:val="0"/>
                <w:numId w:val="95"/>
              </w:numPr>
              <w:tabs>
                <w:tab w:val="clear" w:pos="720"/>
                <w:tab w:val="left" w:pos="387" w:leader="none"/>
              </w:tabs>
              <w:spacing w:before="120" w:after="0"/>
              <w:ind w:left="414" w:hanging="342"/>
              <w:outlineLvl w:val="2"/>
              <w:rPr>
                <w:rStyle w:val="Heading3Char"/>
                <w:rFonts w:ascii="Arial" w:hAnsi="Arial"/>
                <w:b/>
                <w:b/>
                <w:bCs w:val="false"/>
                <w:sz w:val="22"/>
                <w:szCs w:val="22"/>
              </w:rPr>
            </w:pPr>
            <w:bookmarkStart w:id="516" w:name="_Toc421454278"/>
            <w:r>
              <w:rPr>
                <w:rStyle w:val="Heading3Char"/>
                <w:rFonts w:ascii="Arial" w:hAnsi="Arial"/>
                <w:b/>
                <w:bCs w:val="false"/>
                <w:sz w:val="22"/>
                <w:szCs w:val="22"/>
              </w:rPr>
              <w:t>Communications and Notices</w:t>
            </w:r>
            <w:bookmarkEnd w:id="516"/>
          </w:p>
        </w:tc>
        <w:tc>
          <w:tcPr>
            <w:tcW w:w="7559" w:type="dxa"/>
            <w:tcBorders/>
          </w:tcPr>
          <w:p>
            <w:pPr>
              <w:pStyle w:val="SubClauseText"/>
              <w:widowControl w:val="false"/>
              <w:numPr>
                <w:ilvl w:val="0"/>
                <w:numId w:val="113"/>
              </w:numPr>
              <w:tabs>
                <w:tab w:val="clear" w:pos="720"/>
                <w:tab w:val="left" w:pos="432" w:leader="none"/>
              </w:tabs>
              <w:spacing w:before="120" w:after="0"/>
              <w:ind w:left="432" w:hanging="432"/>
              <w:rPr>
                <w:rFonts w:ascii="Arial" w:hAnsi="Arial" w:cs="Arial"/>
                <w:b/>
                <w:b/>
                <w:sz w:val="22"/>
                <w:szCs w:val="22"/>
                <w:lang w:val="en-GB"/>
              </w:rPr>
            </w:pPr>
            <w:r>
              <w:rPr>
                <w:rFonts w:cs="Arial" w:ascii="Arial" w:hAnsi="Arial"/>
                <w:sz w:val="22"/>
                <w:szCs w:val="22"/>
                <w:lang w:val="en-GB"/>
              </w:rPr>
              <w:t xml:space="preserve">Communications between Parties (notice, request or consent required or permitted to be given or made by one party to the other) pursuant to the Contract shall be in writing to the addresses specified in the </w:t>
            </w:r>
            <w:r>
              <w:rPr>
                <w:rFonts w:cs="Arial" w:ascii="Arial" w:hAnsi="Arial"/>
                <w:b/>
                <w:sz w:val="22"/>
                <w:szCs w:val="22"/>
                <w:lang w:val="en-GB"/>
              </w:rPr>
              <w:t>PCC</w:t>
            </w:r>
            <w:r>
              <w:rPr>
                <w:rFonts w:cs="Arial" w:ascii="Arial" w:hAnsi="Arial"/>
                <w:sz w:val="22"/>
                <w:szCs w:val="22"/>
                <w:lang w:val="en-GB"/>
              </w:rPr>
              <w:t>.</w:t>
            </w:r>
          </w:p>
        </w:tc>
      </w:tr>
      <w:tr>
        <w:trPr>
          <w:trHeight w:val="702" w:hRule="atLeast"/>
        </w:trPr>
        <w:tc>
          <w:tcPr>
            <w:tcW w:w="2052" w:type="dxa"/>
            <w:vMerge w:val="continue"/>
            <w:tcBorders/>
            <w:shd w:color="auto" w:fill="auto" w:val="clear"/>
          </w:tcPr>
          <w:p>
            <w:pPr>
              <w:pStyle w:val="Normal"/>
              <w:widowControl w:val="false"/>
              <w:numPr>
                <w:ilvl w:val="0"/>
                <w:numId w:val="0"/>
              </w:numPr>
              <w:spacing w:before="120" w:after="0"/>
              <w:ind w:left="360" w:hanging="0"/>
              <w:outlineLvl w:val="2"/>
              <w:rPr>
                <w:rStyle w:val="Heading3Char"/>
                <w:rFonts w:ascii="Arial" w:hAnsi="Arial"/>
                <w:b/>
                <w:b/>
                <w:bCs w:val="false"/>
                <w:sz w:val="22"/>
                <w:szCs w:val="22"/>
              </w:rPr>
            </w:pPr>
            <w:r>
              <w:rPr>
                <w:rFonts w:ascii="Arial" w:hAnsi="Arial"/>
                <w:b/>
                <w:bCs w:val="false"/>
                <w:sz w:val="22"/>
                <w:szCs w:val="22"/>
              </w:rPr>
            </w:r>
          </w:p>
        </w:tc>
        <w:tc>
          <w:tcPr>
            <w:tcW w:w="7559" w:type="dxa"/>
            <w:tcBorders/>
          </w:tcPr>
          <w:p>
            <w:pPr>
              <w:pStyle w:val="SubClauseText"/>
              <w:widowControl w:val="false"/>
              <w:numPr>
                <w:ilvl w:val="0"/>
                <w:numId w:val="113"/>
              </w:numPr>
              <w:tabs>
                <w:tab w:val="clear" w:pos="720"/>
                <w:tab w:val="left" w:pos="432" w:leader="none"/>
              </w:tabs>
              <w:spacing w:before="120" w:after="0"/>
              <w:ind w:left="432" w:hanging="432"/>
              <w:rPr>
                <w:rFonts w:ascii="Arial" w:hAnsi="Arial" w:cs="Arial"/>
                <w:b/>
                <w:b/>
                <w:sz w:val="22"/>
                <w:szCs w:val="22"/>
                <w:lang w:val="en-GB"/>
              </w:rPr>
            </w:pPr>
            <w:r>
              <w:rPr>
                <w:rFonts w:cs="Arial" w:ascii="Arial" w:hAnsi="Arial"/>
                <w:sz w:val="22"/>
                <w:szCs w:val="22"/>
                <w:lang w:val="en-GB"/>
              </w:rPr>
              <w:t>A notice shall be effective when delivered or on the notice’s effective date, whichever is later.</w:t>
            </w:r>
          </w:p>
        </w:tc>
      </w:tr>
      <w:tr>
        <w:trPr>
          <w:trHeight w:val="738" w:hRule="atLeast"/>
        </w:trPr>
        <w:tc>
          <w:tcPr>
            <w:tcW w:w="2052" w:type="dxa"/>
            <w:vMerge w:val="continue"/>
            <w:tcBorders/>
            <w:shd w:color="auto" w:fill="auto" w:val="clear"/>
          </w:tcPr>
          <w:p>
            <w:pPr>
              <w:pStyle w:val="Normal"/>
              <w:widowControl w:val="false"/>
              <w:numPr>
                <w:ilvl w:val="0"/>
                <w:numId w:val="0"/>
              </w:numPr>
              <w:spacing w:before="120" w:after="0"/>
              <w:ind w:left="360" w:hanging="0"/>
              <w:outlineLvl w:val="2"/>
              <w:rPr>
                <w:rStyle w:val="Heading3Char"/>
                <w:rFonts w:ascii="Arial" w:hAnsi="Arial"/>
                <w:b/>
                <w:b/>
                <w:bCs w:val="false"/>
                <w:sz w:val="22"/>
                <w:szCs w:val="22"/>
              </w:rPr>
            </w:pPr>
            <w:r>
              <w:rPr>
                <w:rFonts w:ascii="Arial" w:hAnsi="Arial"/>
                <w:b/>
                <w:bCs w:val="false"/>
                <w:sz w:val="22"/>
                <w:szCs w:val="22"/>
              </w:rPr>
            </w:r>
          </w:p>
        </w:tc>
        <w:tc>
          <w:tcPr>
            <w:tcW w:w="7559" w:type="dxa"/>
            <w:tcBorders/>
          </w:tcPr>
          <w:p>
            <w:pPr>
              <w:pStyle w:val="SubClauseText"/>
              <w:widowControl w:val="false"/>
              <w:numPr>
                <w:ilvl w:val="0"/>
                <w:numId w:val="113"/>
              </w:numPr>
              <w:tabs>
                <w:tab w:val="clear" w:pos="720"/>
                <w:tab w:val="left" w:pos="432" w:leader="none"/>
              </w:tabs>
              <w:spacing w:before="120" w:after="0"/>
              <w:ind w:left="432" w:hanging="432"/>
              <w:rPr>
                <w:rFonts w:ascii="Arial" w:hAnsi="Arial" w:cs="Arial"/>
                <w:b/>
                <w:b/>
                <w:sz w:val="22"/>
                <w:szCs w:val="22"/>
                <w:lang w:val="en-GB"/>
              </w:rPr>
            </w:pPr>
            <w:r>
              <w:rPr>
                <w:rFonts w:cs="Arial" w:ascii="Arial" w:hAnsi="Arial"/>
                <w:sz w:val="22"/>
                <w:szCs w:val="22"/>
                <w:lang w:val="en-GB"/>
              </w:rPr>
              <w:t>A Party may change its address for notice hereunder by giving the other Party notice of such change to the address.</w:t>
            </w:r>
          </w:p>
        </w:tc>
      </w:tr>
      <w:tr>
        <w:trPr>
          <w:trHeight w:val="720" w:hRule="atLeast"/>
        </w:trPr>
        <w:tc>
          <w:tcPr>
            <w:tcW w:w="2052" w:type="dxa"/>
            <w:tcBorders/>
            <w:shd w:color="auto" w:fill="auto" w:val="clear"/>
          </w:tcPr>
          <w:p>
            <w:pPr>
              <w:pStyle w:val="Normal"/>
              <w:widowControl w:val="false"/>
              <w:numPr>
                <w:ilvl w:val="0"/>
                <w:numId w:val="95"/>
              </w:numPr>
              <w:tabs>
                <w:tab w:val="clear" w:pos="720"/>
                <w:tab w:val="left" w:pos="387" w:leader="none"/>
              </w:tabs>
              <w:spacing w:before="120" w:after="0"/>
              <w:ind w:left="414" w:hanging="342"/>
              <w:outlineLvl w:val="2"/>
              <w:rPr>
                <w:rStyle w:val="Heading3Char"/>
                <w:rFonts w:ascii="Arial" w:hAnsi="Arial"/>
                <w:b/>
                <w:b/>
                <w:bCs w:val="false"/>
                <w:sz w:val="22"/>
                <w:szCs w:val="22"/>
              </w:rPr>
            </w:pPr>
            <w:r>
              <w:rPr>
                <w:rFonts w:cs="Arial" w:ascii="Arial" w:hAnsi="Arial"/>
                <w:b/>
                <w:vanish/>
                <w:sz w:val="22"/>
                <w:szCs w:val="22"/>
              </w:rPr>
              <w:t>.ncluded under the Contract.ntractor which the Project manager certifiesn to be due</w:t>
            </w:r>
            <w:bookmarkStart w:id="517" w:name="_Toc313799863"/>
            <w:bookmarkStart w:id="518" w:name="_Toc421454279"/>
            <w:r>
              <w:rPr>
                <w:rFonts w:cs="Arial" w:ascii="Arial" w:hAnsi="Arial"/>
                <w:b/>
                <w:vanish/>
                <w:sz w:val="22"/>
                <w:szCs w:val="22"/>
              </w:rPr>
              <w:t>Governing Law</w:t>
            </w:r>
            <w:bookmarkEnd w:id="517"/>
            <w:bookmarkEnd w:id="518"/>
          </w:p>
        </w:tc>
        <w:tc>
          <w:tcPr>
            <w:tcW w:w="7559" w:type="dxa"/>
            <w:tcBorders/>
          </w:tcPr>
          <w:p>
            <w:pPr>
              <w:pStyle w:val="Footer"/>
              <w:widowControl w:val="false"/>
              <w:numPr>
                <w:ilvl w:val="1"/>
                <w:numId w:val="113"/>
              </w:numPr>
              <w:tabs>
                <w:tab w:val="left" w:pos="432" w:leader="none"/>
                <w:tab w:val="right" w:pos="9504" w:leader="underscore"/>
              </w:tabs>
              <w:spacing w:before="120" w:after="0"/>
              <w:ind w:left="432" w:hanging="432"/>
              <w:rPr>
                <w:rFonts w:ascii="Arial" w:hAnsi="Arial" w:cs="Arial"/>
                <w:sz w:val="22"/>
                <w:szCs w:val="22"/>
                <w:lang w:val="en-GB"/>
              </w:rPr>
            </w:pPr>
            <w:r>
              <w:rPr>
                <w:rFonts w:cs="Arial" w:ascii="Arial" w:hAnsi="Arial"/>
                <w:sz w:val="22"/>
                <w:szCs w:val="22"/>
                <w:lang w:val="en-GB"/>
              </w:rPr>
              <w:t>The Contract shall be governed by and interpreted in accordance with the laws of the People’s Republic of Bangladesh.</w:t>
            </w:r>
          </w:p>
        </w:tc>
      </w:tr>
      <w:tr>
        <w:trPr>
          <w:trHeight w:val="1332" w:hRule="atLeast"/>
        </w:trPr>
        <w:tc>
          <w:tcPr>
            <w:tcW w:w="2052" w:type="dxa"/>
            <w:vMerge w:val="restart"/>
            <w:tcBorders/>
            <w:shd w:color="auto" w:fill="auto" w:val="clear"/>
          </w:tcPr>
          <w:p>
            <w:pPr>
              <w:pStyle w:val="Normal"/>
              <w:widowControl w:val="false"/>
              <w:numPr>
                <w:ilvl w:val="0"/>
                <w:numId w:val="95"/>
              </w:numPr>
              <w:tabs>
                <w:tab w:val="clear" w:pos="720"/>
                <w:tab w:val="left" w:pos="387" w:leader="none"/>
              </w:tabs>
              <w:spacing w:before="120" w:after="0"/>
              <w:ind w:left="414" w:hanging="342"/>
              <w:outlineLvl w:val="2"/>
              <w:rPr>
                <w:rStyle w:val="Heading3Char"/>
                <w:rFonts w:ascii="Arial" w:hAnsi="Arial"/>
                <w:b/>
                <w:b/>
                <w:bCs w:val="false"/>
                <w:sz w:val="22"/>
                <w:szCs w:val="22"/>
              </w:rPr>
            </w:pPr>
            <w:bookmarkStart w:id="519" w:name="_Toc421454280"/>
            <w:r>
              <w:rPr>
                <w:rStyle w:val="Heading3Char"/>
                <w:rFonts w:ascii="Arial" w:hAnsi="Arial"/>
                <w:b/>
                <w:bCs w:val="false"/>
                <w:sz w:val="22"/>
                <w:szCs w:val="22"/>
              </w:rPr>
              <w:t>Governing Language</w:t>
            </w:r>
            <w:bookmarkEnd w:id="519"/>
          </w:p>
        </w:tc>
        <w:tc>
          <w:tcPr>
            <w:tcW w:w="7559" w:type="dxa"/>
            <w:tcBorders/>
          </w:tcPr>
          <w:p>
            <w:pPr>
              <w:pStyle w:val="SubClauseText"/>
              <w:widowControl w:val="false"/>
              <w:numPr>
                <w:ilvl w:val="0"/>
                <w:numId w:val="114"/>
              </w:numPr>
              <w:tabs>
                <w:tab w:val="clear" w:pos="720"/>
                <w:tab w:val="left" w:pos="432" w:leader="none"/>
              </w:tabs>
              <w:spacing w:before="120" w:after="0"/>
              <w:ind w:left="432" w:hanging="432"/>
              <w:rPr>
                <w:rFonts w:ascii="Arial" w:hAnsi="Arial" w:cs="Arial"/>
                <w:sz w:val="22"/>
                <w:szCs w:val="22"/>
                <w:lang w:val="en-GB"/>
              </w:rPr>
            </w:pPr>
            <w:r>
              <w:rPr>
                <w:rFonts w:cs="Arial" w:ascii="Arial" w:hAnsi="Arial"/>
                <w:sz w:val="22"/>
                <w:szCs w:val="22"/>
                <w:lang w:val="en-GB"/>
              </w:rPr>
              <w:t>The Contract shall be written in English language. Correspondence and documents relating to the Contract exchanged by the Supplier and the Procuring Entity may be written in English or Bangla language. Supporting documents and printed literature that are part of the Contract may be in another language provided they are accompanied by an accurate translation of the relevant passages in English language, in which case, for purposes of interpretation of the Contract, this translation shall govern.</w:t>
            </w:r>
          </w:p>
        </w:tc>
      </w:tr>
      <w:tr>
        <w:trPr>
          <w:trHeight w:val="612" w:hRule="atLeast"/>
        </w:trPr>
        <w:tc>
          <w:tcPr>
            <w:tcW w:w="2052" w:type="dxa"/>
            <w:vMerge w:val="continue"/>
            <w:tcBorders/>
            <w:shd w:color="auto" w:fill="auto" w:val="clear"/>
          </w:tcPr>
          <w:p>
            <w:pPr>
              <w:pStyle w:val="Normal"/>
              <w:widowControl w:val="false"/>
              <w:numPr>
                <w:ilvl w:val="0"/>
                <w:numId w:val="0"/>
              </w:numPr>
              <w:spacing w:before="120" w:after="0"/>
              <w:ind w:left="360" w:hanging="0"/>
              <w:outlineLvl w:val="2"/>
              <w:rPr>
                <w:rStyle w:val="Heading3Char"/>
                <w:rFonts w:ascii="Arial" w:hAnsi="Arial"/>
                <w:b/>
                <w:b/>
                <w:bCs w:val="false"/>
                <w:sz w:val="22"/>
                <w:szCs w:val="22"/>
              </w:rPr>
            </w:pPr>
            <w:r>
              <w:rPr>
                <w:rFonts w:ascii="Arial" w:hAnsi="Arial"/>
                <w:b/>
                <w:bCs w:val="false"/>
                <w:sz w:val="22"/>
                <w:szCs w:val="22"/>
              </w:rPr>
            </w:r>
          </w:p>
        </w:tc>
        <w:tc>
          <w:tcPr>
            <w:tcW w:w="7559" w:type="dxa"/>
            <w:tcBorders/>
          </w:tcPr>
          <w:p>
            <w:pPr>
              <w:pStyle w:val="SubClauseText"/>
              <w:widowControl w:val="false"/>
              <w:numPr>
                <w:ilvl w:val="0"/>
                <w:numId w:val="114"/>
              </w:numPr>
              <w:tabs>
                <w:tab w:val="clear" w:pos="720"/>
                <w:tab w:val="left" w:pos="432" w:leader="none"/>
              </w:tabs>
              <w:spacing w:before="120" w:after="0"/>
              <w:ind w:left="432" w:hanging="432"/>
              <w:rPr>
                <w:rFonts w:ascii="Arial" w:hAnsi="Arial" w:cs="Arial"/>
                <w:sz w:val="22"/>
                <w:szCs w:val="22"/>
                <w:lang w:val="en-GB"/>
              </w:rPr>
            </w:pPr>
            <w:r>
              <w:rPr>
                <w:rFonts w:cs="Arial" w:ascii="Arial" w:hAnsi="Arial"/>
                <w:sz w:val="22"/>
                <w:szCs w:val="22"/>
                <w:lang w:val="en-GB"/>
              </w:rPr>
              <w:t>The Supplier shall bear all costs of translation to the governing language and all risks of the accuracy of such translation.</w:t>
            </w:r>
          </w:p>
        </w:tc>
      </w:tr>
      <w:tr>
        <w:trPr>
          <w:trHeight w:val="2251" w:hRule="atLeast"/>
        </w:trPr>
        <w:tc>
          <w:tcPr>
            <w:tcW w:w="2052" w:type="dxa"/>
            <w:vMerge w:val="restart"/>
            <w:tcBorders/>
            <w:shd w:color="auto" w:fill="auto" w:val="clear"/>
          </w:tcPr>
          <w:p>
            <w:pPr>
              <w:pStyle w:val="Normal"/>
              <w:widowControl w:val="false"/>
              <w:numPr>
                <w:ilvl w:val="0"/>
                <w:numId w:val="95"/>
              </w:numPr>
              <w:tabs>
                <w:tab w:val="clear" w:pos="720"/>
                <w:tab w:val="left" w:pos="387" w:leader="none"/>
              </w:tabs>
              <w:ind w:left="418" w:hanging="342"/>
              <w:outlineLvl w:val="2"/>
              <w:rPr>
                <w:rStyle w:val="Heading3Char"/>
                <w:rFonts w:ascii="Arial" w:hAnsi="Arial"/>
                <w:b/>
                <w:b/>
                <w:bCs w:val="false"/>
                <w:sz w:val="22"/>
                <w:szCs w:val="22"/>
              </w:rPr>
            </w:pPr>
            <w:bookmarkStart w:id="520" w:name="_Toc421454281"/>
            <w:r>
              <w:rPr>
                <w:rStyle w:val="Heading3Char"/>
                <w:rFonts w:ascii="Arial" w:hAnsi="Arial"/>
                <w:b/>
                <w:bCs w:val="false"/>
                <w:sz w:val="22"/>
                <w:szCs w:val="22"/>
              </w:rPr>
              <w:t>Corrupt, Fraudulent, Collusive, Coercive</w:t>
            </w:r>
            <w:bookmarkEnd w:id="520"/>
          </w:p>
          <w:p>
            <w:pPr>
              <w:pStyle w:val="Normal"/>
              <w:widowControl w:val="false"/>
              <w:numPr>
                <w:ilvl w:val="0"/>
                <w:numId w:val="0"/>
              </w:numPr>
              <w:ind w:left="418" w:hanging="0"/>
              <w:outlineLvl w:val="2"/>
              <w:rPr>
                <w:rStyle w:val="Heading3Char"/>
                <w:rFonts w:ascii="Arial" w:hAnsi="Arial"/>
                <w:b/>
                <w:b/>
                <w:bCs w:val="false"/>
                <w:sz w:val="22"/>
                <w:szCs w:val="22"/>
              </w:rPr>
            </w:pPr>
            <w:bookmarkStart w:id="521" w:name="_Toc421454282"/>
            <w:bookmarkStart w:id="522" w:name="_Toc49504260"/>
            <w:bookmarkStart w:id="523" w:name="_Toc49504693"/>
            <w:bookmarkStart w:id="524" w:name="_Toc49504811"/>
            <w:bookmarkStart w:id="525" w:name="_Toc49569831"/>
            <w:bookmarkStart w:id="526" w:name="_Toc49591393"/>
            <w:bookmarkStart w:id="527" w:name="_Toc49591741"/>
            <w:r>
              <w:rPr>
                <w:rStyle w:val="Heading3Char"/>
                <w:rFonts w:ascii="Arial" w:hAnsi="Arial"/>
                <w:b/>
                <w:bCs w:val="false"/>
                <w:sz w:val="22"/>
                <w:szCs w:val="22"/>
              </w:rPr>
              <w:t>( and Obstructive in case of Development Partner) Practices</w:t>
            </w:r>
            <w:bookmarkEnd w:id="521"/>
            <w:bookmarkEnd w:id="522"/>
            <w:bookmarkEnd w:id="523"/>
            <w:bookmarkEnd w:id="524"/>
            <w:bookmarkEnd w:id="525"/>
            <w:bookmarkEnd w:id="526"/>
            <w:bookmarkEnd w:id="527"/>
          </w:p>
        </w:tc>
        <w:tc>
          <w:tcPr>
            <w:tcW w:w="7559" w:type="dxa"/>
            <w:tcBorders/>
          </w:tcPr>
          <w:p>
            <w:pPr>
              <w:pStyle w:val="SubClauseText"/>
              <w:widowControl w:val="false"/>
              <w:numPr>
                <w:ilvl w:val="0"/>
                <w:numId w:val="64"/>
              </w:numPr>
              <w:tabs>
                <w:tab w:val="clear" w:pos="720"/>
                <w:tab w:val="left" w:pos="432" w:leader="none"/>
              </w:tabs>
              <w:spacing w:before="120" w:after="0"/>
              <w:ind w:left="432" w:hanging="432"/>
              <w:rPr>
                <w:rFonts w:ascii="Arial" w:hAnsi="Arial" w:cs="Arial"/>
                <w:sz w:val="22"/>
                <w:szCs w:val="22"/>
                <w:lang w:val="en-GB"/>
              </w:rPr>
            </w:pPr>
            <w:r>
              <w:rPr>
                <w:rFonts w:cs="Arial" w:ascii="Arial" w:hAnsi="Arial"/>
                <w:sz w:val="22"/>
                <w:szCs w:val="22"/>
                <w:lang w:val="en-GB"/>
              </w:rPr>
              <w:t>The Government and the Development Partner requires that the Procuring Entity as well as the Supplier (including their manufacturers, sub-contractors, agents, personnel, consultants and service providers), shall observe the highest standard of ethics during the implementation of procurement proceedings and the execution of contracts under public funds.</w:t>
            </w:r>
          </w:p>
        </w:tc>
      </w:tr>
      <w:tr>
        <w:trPr/>
        <w:tc>
          <w:tcPr>
            <w:tcW w:w="205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64"/>
              </w:numPr>
              <w:tabs>
                <w:tab w:val="clear" w:pos="720"/>
                <w:tab w:val="left" w:pos="567" w:leader="none"/>
              </w:tabs>
              <w:spacing w:before="60" w:after="60"/>
              <w:ind w:left="585" w:hanging="576"/>
              <w:rPr>
                <w:rFonts w:ascii="Arial" w:hAnsi="Arial" w:cs="Arial"/>
                <w:sz w:val="21"/>
                <w:szCs w:val="21"/>
                <w:lang w:val="en-GB"/>
              </w:rPr>
            </w:pPr>
            <w:r>
              <w:rPr>
                <w:rFonts w:cs="Arial" w:ascii="Arial" w:hAnsi="Arial"/>
                <w:sz w:val="21"/>
                <w:szCs w:val="21"/>
                <w:lang w:val="en-GB"/>
              </w:rPr>
              <w:t>For the purpose of GCC Sub Clause 6.2 the terms set forth below as follows–</w:t>
            </w:r>
          </w:p>
          <w:p>
            <w:pPr>
              <w:pStyle w:val="Normal"/>
              <w:widowControl w:val="false"/>
              <w:numPr>
                <w:ilvl w:val="0"/>
                <w:numId w:val="49"/>
              </w:numPr>
              <w:tabs>
                <w:tab w:val="clear" w:pos="720"/>
                <w:tab w:val="left" w:pos="1062" w:leader="none"/>
              </w:tabs>
              <w:spacing w:before="120" w:after="120"/>
              <w:ind w:left="1062" w:hanging="500"/>
              <w:jc w:val="both"/>
              <w:rPr>
                <w:rFonts w:ascii="Arial" w:hAnsi="Arial" w:cs="Arial"/>
                <w:sz w:val="22"/>
                <w:szCs w:val="22"/>
              </w:rPr>
            </w:pPr>
            <w:r>
              <w:rPr>
                <w:rFonts w:cs="Arial" w:ascii="Arial" w:hAnsi="Arial"/>
                <w:b/>
                <w:bCs/>
                <w:sz w:val="22"/>
                <w:szCs w:val="22"/>
              </w:rPr>
              <w:t>corrupt practice</w:t>
            </w:r>
            <w:r>
              <w:fldChar w:fldCharType="begin"/>
            </w:r>
            <w:r>
              <w:rPr>
                <w:sz w:val="22"/>
                <w:b/>
                <w:szCs w:val="22"/>
                <w:bCs/>
                <w:rFonts w:cs="Arial" w:ascii="Arial" w:hAnsi="Arial"/>
              </w:rPr>
              <w:instrText> XE "corrupt practice: : " </w:instrText>
            </w:r>
            <w:r>
              <w:rPr>
                <w:sz w:val="22"/>
                <w:b/>
                <w:szCs w:val="22"/>
                <w:bCs/>
                <w:rFonts w:cs="Arial" w:ascii="Arial" w:hAnsi="Arial"/>
              </w:rPr>
              <w:fldChar w:fldCharType="separate"/>
            </w:r>
            <w:r>
              <w:rPr>
                <w:rFonts w:cs="Arial" w:ascii="Arial" w:hAnsi="Arial"/>
                <w:b/>
                <w:bCs/>
                <w:sz w:val="22"/>
                <w:szCs w:val="22"/>
              </w:rPr>
            </w:r>
            <w:r>
              <w:rPr>
                <w:sz w:val="22"/>
                <w:b/>
                <w:szCs w:val="22"/>
                <w:bCs/>
                <w:rFonts w:cs="Arial" w:ascii="Arial" w:hAnsi="Arial"/>
              </w:rPr>
              <w:fldChar w:fldCharType="end"/>
            </w:r>
            <w:r>
              <w:rPr>
                <w:rFonts w:cs="Arial" w:ascii="Arial" w:hAnsi="Arial"/>
                <w:sz w:val="22"/>
                <w:szCs w:val="22"/>
              </w:rPr>
              <w:t xml:space="preserve">   means offering, giving or promising to give, receiving, or soliciting, either directly or indirectly, to any officer or employee of the Procuring Entity or other public or private authority or individual, a gratuity in any form; employment or any other thing or service of value as an inducement with respect to an act or decision or method followed by the Procuring Entity in connection with a Procurement proceeding or contract execution;</w:t>
            </w:r>
          </w:p>
          <w:p>
            <w:pPr>
              <w:pStyle w:val="Normal"/>
              <w:widowControl w:val="false"/>
              <w:numPr>
                <w:ilvl w:val="0"/>
                <w:numId w:val="49"/>
              </w:numPr>
              <w:tabs>
                <w:tab w:val="clear" w:pos="720"/>
                <w:tab w:val="left" w:pos="1062" w:leader="none"/>
              </w:tabs>
              <w:spacing w:before="120" w:after="120"/>
              <w:ind w:left="1062" w:hanging="500"/>
              <w:jc w:val="both"/>
              <w:rPr>
                <w:rFonts w:ascii="Arial" w:hAnsi="Arial" w:cs="Arial"/>
                <w:sz w:val="22"/>
                <w:szCs w:val="22"/>
              </w:rPr>
            </w:pPr>
            <w:r>
              <w:rPr>
                <w:rFonts w:cs="Arial" w:ascii="Arial" w:hAnsi="Arial"/>
                <w:b/>
                <w:bCs/>
                <w:sz w:val="22"/>
                <w:szCs w:val="22"/>
              </w:rPr>
              <w:t>fraudulent practice</w:t>
            </w:r>
            <w:r>
              <w:fldChar w:fldCharType="begin"/>
            </w:r>
            <w:r>
              <w:rPr>
                <w:sz w:val="22"/>
                <w:b/>
                <w:szCs w:val="22"/>
                <w:bCs/>
                <w:rFonts w:cs="Arial" w:ascii="Arial" w:hAnsi="Arial"/>
              </w:rPr>
              <w:instrText> XE "fraudulent practice: : " </w:instrText>
            </w:r>
            <w:r>
              <w:rPr>
                <w:sz w:val="22"/>
                <w:b/>
                <w:szCs w:val="22"/>
                <w:bCs/>
                <w:rFonts w:cs="Arial" w:ascii="Arial" w:hAnsi="Arial"/>
              </w:rPr>
              <w:fldChar w:fldCharType="separate"/>
            </w:r>
            <w:r>
              <w:rPr>
                <w:rFonts w:cs="Arial" w:ascii="Arial" w:hAnsi="Arial"/>
                <w:b/>
                <w:bCs/>
                <w:sz w:val="22"/>
                <w:szCs w:val="22"/>
              </w:rPr>
            </w:r>
            <w:r>
              <w:rPr>
                <w:sz w:val="22"/>
                <w:b/>
                <w:szCs w:val="22"/>
                <w:bCs/>
                <w:rFonts w:cs="Arial" w:ascii="Arial" w:hAnsi="Arial"/>
              </w:rPr>
              <w:fldChar w:fldCharType="end"/>
            </w:r>
            <w:r>
              <w:rPr>
                <w:rFonts w:cs="Arial" w:ascii="Arial" w:hAnsi="Arial"/>
                <w:sz w:val="22"/>
                <w:szCs w:val="22"/>
              </w:rPr>
              <w:t xml:space="preserve"> means the misrepresentation or omission of facts in order to influence a decision to be taken in a Procurement proceeding or Contract execution;</w:t>
            </w:r>
          </w:p>
          <w:p>
            <w:pPr>
              <w:pStyle w:val="Normal"/>
              <w:widowControl w:val="false"/>
              <w:numPr>
                <w:ilvl w:val="0"/>
                <w:numId w:val="49"/>
              </w:numPr>
              <w:tabs>
                <w:tab w:val="clear" w:pos="720"/>
                <w:tab w:val="left" w:pos="1062" w:leader="none"/>
              </w:tabs>
              <w:spacing w:before="120" w:after="120"/>
              <w:ind w:left="1062" w:hanging="500"/>
              <w:jc w:val="both"/>
              <w:rPr>
                <w:rFonts w:ascii="Arial" w:hAnsi="Arial" w:cs="Arial"/>
                <w:sz w:val="22"/>
                <w:szCs w:val="22"/>
              </w:rPr>
            </w:pPr>
            <w:r>
              <w:rPr>
                <w:rFonts w:cs="Arial" w:ascii="Arial" w:hAnsi="Arial"/>
                <w:b/>
                <w:bCs/>
                <w:sz w:val="22"/>
                <w:szCs w:val="22"/>
              </w:rPr>
              <w:t>collusive practice</w:t>
            </w:r>
            <w:r>
              <w:fldChar w:fldCharType="begin"/>
            </w:r>
            <w:r>
              <w:rPr>
                <w:sz w:val="22"/>
                <w:b/>
                <w:szCs w:val="22"/>
                <w:bCs/>
                <w:rFonts w:cs="Arial" w:ascii="Arial" w:hAnsi="Arial"/>
              </w:rPr>
              <w:instrText> XE "collusive practice: : " </w:instrText>
            </w:r>
            <w:r>
              <w:rPr>
                <w:sz w:val="22"/>
                <w:b/>
                <w:szCs w:val="22"/>
                <w:bCs/>
                <w:rFonts w:cs="Arial" w:ascii="Arial" w:hAnsi="Arial"/>
              </w:rPr>
              <w:fldChar w:fldCharType="separate"/>
            </w:r>
            <w:r>
              <w:rPr>
                <w:rFonts w:cs="Arial" w:ascii="Arial" w:hAnsi="Arial"/>
                <w:b/>
                <w:bCs/>
                <w:sz w:val="22"/>
                <w:szCs w:val="22"/>
              </w:rPr>
            </w:r>
            <w:r>
              <w:rPr>
                <w:sz w:val="22"/>
                <w:b/>
                <w:szCs w:val="22"/>
                <w:bCs/>
                <w:rFonts w:cs="Arial" w:ascii="Arial" w:hAnsi="Arial"/>
              </w:rPr>
              <w:fldChar w:fldCharType="end"/>
            </w:r>
            <w:r>
              <w:rPr>
                <w:rFonts w:cs="Arial" w:ascii="Arial" w:hAnsi="Arial"/>
                <w:sz w:val="22"/>
                <w:szCs w:val="22"/>
              </w:rPr>
              <w:t xml:space="preserve"> means a scheme or arrangement between two (2) or more Persons, with or without the knowledge of the Procuring Entity, that is designed to arbitrarily reduce the number of Tenders submitted or fix Tender pricesat artificial, noncompetitive levels, thereby denying a Procuring Entity the benefits of competitive price arising from genuine and open competition; or</w:t>
            </w:r>
          </w:p>
          <w:p>
            <w:pPr>
              <w:pStyle w:val="Normal"/>
              <w:widowControl w:val="false"/>
              <w:numPr>
                <w:ilvl w:val="0"/>
                <w:numId w:val="49"/>
              </w:numPr>
              <w:tabs>
                <w:tab w:val="clear" w:pos="720"/>
                <w:tab w:val="left" w:pos="1062" w:leader="none"/>
              </w:tabs>
              <w:spacing w:before="120" w:after="120"/>
              <w:ind w:left="1062" w:hanging="500"/>
              <w:jc w:val="both"/>
              <w:rPr>
                <w:rFonts w:ascii="Arial" w:hAnsi="Arial" w:cs="Arial"/>
                <w:color w:val="000000" w:themeColor="text1"/>
                <w:sz w:val="21"/>
                <w:szCs w:val="21"/>
                <w:lang w:val="en-GB"/>
              </w:rPr>
            </w:pPr>
            <w:r>
              <w:rPr>
                <w:rFonts w:cs="Arial" w:ascii="Arial" w:hAnsi="Arial"/>
                <w:b/>
                <w:bCs/>
                <w:sz w:val="22"/>
                <w:szCs w:val="22"/>
              </w:rPr>
              <w:t>coercive practice</w:t>
            </w:r>
            <w:r>
              <w:fldChar w:fldCharType="begin"/>
            </w:r>
            <w:r>
              <w:rPr>
                <w:sz w:val="22"/>
                <w:b/>
                <w:szCs w:val="22"/>
                <w:bCs/>
                <w:rFonts w:cs="Arial" w:ascii="Arial" w:hAnsi="Arial"/>
              </w:rPr>
              <w:instrText> XE "coercive practice: : " </w:instrText>
            </w:r>
            <w:r>
              <w:rPr>
                <w:sz w:val="22"/>
                <w:b/>
                <w:szCs w:val="22"/>
                <w:bCs/>
                <w:rFonts w:cs="Arial" w:ascii="Arial" w:hAnsi="Arial"/>
              </w:rPr>
              <w:fldChar w:fldCharType="separate"/>
            </w:r>
            <w:r>
              <w:rPr>
                <w:rFonts w:cs="Arial" w:ascii="Arial" w:hAnsi="Arial"/>
                <w:b/>
                <w:bCs/>
                <w:sz w:val="22"/>
                <w:szCs w:val="22"/>
              </w:rPr>
            </w:r>
            <w:r>
              <w:rPr>
                <w:sz w:val="22"/>
                <w:b/>
                <w:szCs w:val="22"/>
                <w:bCs/>
                <w:rFonts w:cs="Arial" w:ascii="Arial" w:hAnsi="Arial"/>
              </w:rPr>
              <w:fldChar w:fldCharType="end"/>
            </w:r>
            <w:r>
              <w:rPr>
                <w:rFonts w:cs="Arial" w:ascii="Arial" w:hAnsi="Arial"/>
                <w:sz w:val="22"/>
                <w:szCs w:val="22"/>
              </w:rPr>
              <w:t xml:space="preserve"> means harming or threatening to harm, directly or indirectly, Persons or their property to influence a decision to be taken in a Procurement proceeding or the execution of a Contract, and this will include creating </w:t>
            </w:r>
            <w:r>
              <w:rPr>
                <w:rFonts w:cs="Arial" w:ascii="Arial" w:hAnsi="Arial"/>
                <w:color w:val="000000" w:themeColor="text1"/>
                <w:sz w:val="22"/>
                <w:szCs w:val="22"/>
              </w:rPr>
              <w:t>obstructions in the normal submission process used for Tenders</w:t>
            </w:r>
          </w:p>
          <w:p>
            <w:pPr>
              <w:pStyle w:val="Normal"/>
              <w:widowControl w:val="false"/>
              <w:numPr>
                <w:ilvl w:val="0"/>
                <w:numId w:val="49"/>
              </w:numPr>
              <w:tabs>
                <w:tab w:val="clear" w:pos="720"/>
                <w:tab w:val="left" w:pos="1062" w:leader="none"/>
              </w:tabs>
              <w:spacing w:before="120" w:after="120"/>
              <w:ind w:left="1062" w:hanging="500"/>
              <w:jc w:val="both"/>
              <w:rPr>
                <w:rFonts w:ascii="Arial" w:hAnsi="Arial" w:cs="Arial"/>
                <w:sz w:val="21"/>
                <w:szCs w:val="21"/>
                <w:lang w:val="en-GB"/>
              </w:rPr>
            </w:pPr>
            <w:r>
              <w:rPr>
                <w:rFonts w:cs="Arial" w:ascii="Arial" w:hAnsi="Arial"/>
                <w:color w:val="000000" w:themeColor="text1"/>
                <w:sz w:val="22"/>
                <w:szCs w:val="22"/>
                <w:lang w:val="en-GB"/>
              </w:rPr>
              <w:t>“</w:t>
            </w:r>
            <w:r>
              <w:rPr>
                <w:rFonts w:cs="Arial" w:ascii="Arial" w:hAnsi="Arial"/>
                <w:color w:val="000000" w:themeColor="text1"/>
                <w:sz w:val="22"/>
                <w:szCs w:val="22"/>
                <w:lang w:val="en-GB"/>
              </w:rPr>
              <w:t>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investigation or from pursuing the investigation.</w:t>
            </w:r>
          </w:p>
        </w:tc>
      </w:tr>
      <w:tr>
        <w:trPr/>
        <w:tc>
          <w:tcPr>
            <w:tcW w:w="2052" w:type="dxa"/>
            <w:vMerge w:val="restart"/>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64"/>
              </w:numPr>
              <w:tabs>
                <w:tab w:val="clear" w:pos="720"/>
                <w:tab w:val="left" w:pos="549" w:leader="none"/>
              </w:tabs>
              <w:spacing w:before="120" w:after="120"/>
              <w:ind w:left="590" w:hanging="576"/>
              <w:rPr>
                <w:rFonts w:ascii="Arial" w:hAnsi="Arial" w:cs="Arial"/>
                <w:sz w:val="22"/>
                <w:szCs w:val="22"/>
                <w:lang w:val="en-GB"/>
              </w:rPr>
            </w:pPr>
            <w:r>
              <w:rPr>
                <w:rFonts w:cs="Arial" w:ascii="Arial" w:hAnsi="Arial"/>
                <w:sz w:val="22"/>
                <w:szCs w:val="22"/>
                <w:lang w:val="en-GB"/>
              </w:rPr>
              <w:t xml:space="preserve">Should any corrupt, fraudulent, collusive,  coercive practice( or obstructive practice in case of Development Partner ) of any kind, in competing for or in executing the Contract, is determined by the Procuring Entity, then the Procuring Entity may, upon giving 14 days’ notice to the Supplier, terminate the Supplier’s employment under the Contract and the provisions of Clause </w:t>
            </w:r>
            <w:r>
              <w:rPr>
                <w:rFonts w:cs="Arial" w:ascii="Arial" w:hAnsi="Arial"/>
                <w:sz w:val="22"/>
                <w:szCs w:val="22"/>
                <w:highlight w:val="yellow"/>
                <w:lang w:val="en-GB"/>
              </w:rPr>
              <w:t>4</w:t>
            </w:r>
            <w:r>
              <w:rPr>
                <w:rFonts w:cs="Arial" w:ascii="Arial" w:hAnsi="Arial"/>
                <w:sz w:val="22"/>
                <w:szCs w:val="22"/>
                <w:lang w:val="en-GB"/>
              </w:rPr>
              <w:t xml:space="preserve">0 shall apply as if such expulsion had been made under sub-clause </w:t>
            </w:r>
            <w:r>
              <w:rPr>
                <w:rFonts w:cs="Arial" w:ascii="Arial" w:hAnsi="Arial"/>
                <w:sz w:val="22"/>
                <w:szCs w:val="22"/>
                <w:highlight w:val="yellow"/>
                <w:lang w:val="en-GB"/>
              </w:rPr>
              <w:t>40.1</w:t>
            </w:r>
            <w:r>
              <w:rPr>
                <w:rFonts w:cs="Arial" w:ascii="Arial" w:hAnsi="Arial"/>
                <w:sz w:val="22"/>
                <w:szCs w:val="22"/>
                <w:lang w:val="en-GB"/>
              </w:rPr>
              <w:t xml:space="preserve"> (Termination for Default).</w:t>
            </w:r>
          </w:p>
        </w:tc>
      </w:tr>
      <w:tr>
        <w:trPr>
          <w:trHeight w:val="6210" w:hRule="atLeast"/>
        </w:trPr>
        <w:tc>
          <w:tcPr>
            <w:tcW w:w="205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64"/>
              </w:numPr>
              <w:tabs>
                <w:tab w:val="clear" w:pos="720"/>
                <w:tab w:val="left" w:pos="549" w:leader="none"/>
              </w:tabs>
              <w:spacing w:before="120" w:after="120"/>
              <w:ind w:left="585" w:hanging="576"/>
              <w:rPr>
                <w:rFonts w:ascii="Arial" w:hAnsi="Arial" w:cs="Arial"/>
                <w:sz w:val="22"/>
                <w:szCs w:val="22"/>
                <w:lang w:val="en-GB"/>
              </w:rPr>
            </w:pPr>
            <w:r>
              <w:rPr>
                <w:rFonts w:eastAsia="SimSun" w:cs="Arial" w:ascii="Arial" w:hAnsi="Arial"/>
                <w:sz w:val="22"/>
                <w:szCs w:val="22"/>
                <w:lang w:val="en-GB" w:eastAsia="zh-CN"/>
              </w:rPr>
              <w:t>If corrupt, fraudulent, collusive or coercive</w:t>
            </w:r>
            <w:r>
              <w:rPr>
                <w:rFonts w:eastAsia="SimSun" w:cs="Arial" w:ascii="Arial" w:hAnsi="Arial"/>
                <w:spacing w:val="0"/>
                <w:sz w:val="22"/>
                <w:szCs w:val="22"/>
                <w:lang w:val="en-GB" w:eastAsia="zh-CN"/>
              </w:rPr>
              <w:t xml:space="preserve"> (or obstructive in case of Development Partners) </w:t>
            </w:r>
            <w:r>
              <w:rPr>
                <w:rFonts w:eastAsia="SimSun" w:cs="Arial" w:ascii="Arial" w:hAnsi="Arial"/>
                <w:sz w:val="22"/>
                <w:szCs w:val="22"/>
                <w:lang w:val="en-GB" w:eastAsia="zh-CN"/>
              </w:rPr>
              <w:t>practices of any kind determined by the Procuring Entity or the Development Partner against the Supplier alleged to have carried out such practices, the Procuring Entity and/or the Development Partner shall;</w:t>
            </w:r>
          </w:p>
          <w:p>
            <w:pPr>
              <w:pStyle w:val="BodyText2"/>
              <w:widowControl w:val="false"/>
              <w:numPr>
                <w:ilvl w:val="1"/>
                <w:numId w:val="95"/>
              </w:numPr>
              <w:tabs>
                <w:tab w:val="left" w:pos="605" w:leader="none"/>
                <w:tab w:val="left" w:pos="1062" w:leader="none"/>
              </w:tabs>
              <w:spacing w:before="0" w:after="0"/>
              <w:ind w:left="1062" w:hanging="450"/>
              <w:jc w:val="both"/>
              <w:rPr>
                <w:rFonts w:ascii="Arial" w:hAnsi="Arial" w:eastAsia="SimSun" w:cs="Arial"/>
                <w:b w:val="false"/>
                <w:b w:val="false"/>
                <w:sz w:val="22"/>
                <w:szCs w:val="22"/>
                <w:lang w:val="en-GB" w:eastAsia="zh-CN"/>
              </w:rPr>
            </w:pPr>
            <w:r>
              <w:rPr>
                <w:rFonts w:eastAsia="SimSun" w:cs="Arial" w:ascii="Arial" w:hAnsi="Arial"/>
                <w:b w:val="false"/>
                <w:sz w:val="22"/>
                <w:szCs w:val="22"/>
                <w:lang w:val="en-GB" w:eastAsia="zh-CN"/>
              </w:rPr>
              <w:t>exclude the Supplier from further participation in the particular Procurement proceeding; or</w:t>
            </w:r>
          </w:p>
          <w:p>
            <w:pPr>
              <w:pStyle w:val="SubClauseText"/>
              <w:widowControl w:val="false"/>
              <w:numPr>
                <w:ilvl w:val="1"/>
                <w:numId w:val="95"/>
              </w:numPr>
              <w:tabs>
                <w:tab w:val="clear" w:pos="720"/>
                <w:tab w:val="left" w:pos="1062" w:leader="none"/>
              </w:tabs>
              <w:ind w:left="1062" w:hanging="450"/>
              <w:rPr>
                <w:rFonts w:ascii="Arial" w:hAnsi="Arial" w:cs="Arial"/>
                <w:sz w:val="22"/>
                <w:szCs w:val="22"/>
                <w:lang w:val="en-GB"/>
              </w:rPr>
            </w:pPr>
            <w:r>
              <w:rPr>
                <w:rFonts w:cs="Arial" w:ascii="Arial" w:hAnsi="Arial"/>
                <w:sz w:val="22"/>
                <w:szCs w:val="22"/>
                <w:lang w:val="en-GB"/>
              </w:rPr>
              <w:t>declare, at its discretion, the Supplier  to be ineligible to participate in further Procurement proceedings, either indefinitely or for a specific period of time.</w:t>
            </w:r>
          </w:p>
          <w:p>
            <w:pPr>
              <w:pStyle w:val="SubClauseText"/>
              <w:widowControl w:val="false"/>
              <w:numPr>
                <w:ilvl w:val="0"/>
                <w:numId w:val="64"/>
              </w:numPr>
              <w:tabs>
                <w:tab w:val="clear" w:pos="720"/>
                <w:tab w:val="left" w:pos="549" w:leader="none"/>
              </w:tabs>
              <w:ind w:left="585" w:hanging="576"/>
              <w:rPr>
                <w:rFonts w:ascii="Arial" w:hAnsi="Arial" w:cs="Arial"/>
                <w:sz w:val="22"/>
                <w:szCs w:val="22"/>
                <w:lang w:val="en-GB"/>
              </w:rPr>
            </w:pPr>
            <w:r>
              <w:rPr>
                <w:rFonts w:eastAsia="SimSun" w:cs="Arial" w:ascii="Arial" w:hAnsi="Arial"/>
                <w:spacing w:val="0"/>
                <w:sz w:val="22"/>
                <w:szCs w:val="22"/>
                <w:lang w:val="en-GB" w:eastAsia="zh-CN"/>
              </w:rPr>
              <w:t>The Supplier shall be aware of the provisions on corruption, fraudulence, collusion, coercion and of the Public Procurement Act, 2006, the Public Procurement Rules, 2008 and in case of Development Partner financed contract, the Procurement Guidelines of the Development Partner.</w:t>
            </w:r>
          </w:p>
          <w:p>
            <w:pPr>
              <w:pStyle w:val="SubClauseText"/>
              <w:widowControl w:val="false"/>
              <w:numPr>
                <w:ilvl w:val="0"/>
                <w:numId w:val="64"/>
              </w:numPr>
              <w:tabs>
                <w:tab w:val="clear" w:pos="720"/>
                <w:tab w:val="left" w:pos="549" w:leader="none"/>
              </w:tabs>
              <w:spacing w:before="120" w:after="120"/>
              <w:ind w:left="585" w:hanging="576"/>
              <w:rPr>
                <w:rFonts w:ascii="Arial" w:hAnsi="Arial" w:cs="Arial"/>
                <w:sz w:val="22"/>
                <w:szCs w:val="22"/>
                <w:lang w:val="en-GB"/>
              </w:rPr>
            </w:pPr>
            <w:r>
              <w:rPr>
                <w:rFonts w:cs="Arial" w:ascii="Arial" w:hAnsi="Arial"/>
                <w:spacing w:val="0"/>
                <w:sz w:val="22"/>
                <w:szCs w:val="22"/>
                <w:lang w:val="en-GB"/>
              </w:rPr>
              <w:t>The Supplier (including its manufacturers, sub-contractors, agents, personnel, consultants and service providers) shall permit the Government and/or the Development Partner to inspect the Supplier’s accounts and records and other documents relating to the submission of e-Tender and contract performance, and to have them audited by auditors appointed by the Government and/or the Development Partner, if so required.</w:t>
            </w:r>
          </w:p>
        </w:tc>
      </w:tr>
      <w:tr>
        <w:trPr/>
        <w:tc>
          <w:tcPr>
            <w:tcW w:w="2052" w:type="dxa"/>
            <w:tcBorders/>
          </w:tcPr>
          <w:p>
            <w:pPr>
              <w:pStyle w:val="Normal"/>
              <w:widowControl w:val="false"/>
              <w:numPr>
                <w:ilvl w:val="0"/>
                <w:numId w:val="95"/>
              </w:numPr>
              <w:tabs>
                <w:tab w:val="clear" w:pos="720"/>
                <w:tab w:val="left" w:pos="405" w:leader="none"/>
              </w:tabs>
              <w:spacing w:before="120" w:after="80"/>
              <w:ind w:left="414" w:hanging="342"/>
              <w:outlineLvl w:val="2"/>
              <w:rPr>
                <w:rStyle w:val="Heading3Char"/>
                <w:rFonts w:ascii="Arial" w:hAnsi="Arial"/>
                <w:b/>
                <w:b/>
                <w:bCs w:val="false"/>
                <w:sz w:val="22"/>
                <w:szCs w:val="22"/>
              </w:rPr>
            </w:pPr>
            <w:bookmarkStart w:id="528" w:name="_Toc49504262"/>
            <w:bookmarkStart w:id="529" w:name="_Toc49504813"/>
            <w:bookmarkStart w:id="530" w:name="_Toc49504695"/>
            <w:bookmarkStart w:id="531" w:name="_Toc338337624"/>
            <w:bookmarkStart w:id="532" w:name="_Toc338337628"/>
            <w:bookmarkStart w:id="533" w:name="_Toc338337632"/>
            <w:bookmarkStart w:id="534" w:name="_Toc49569833"/>
            <w:bookmarkStart w:id="535" w:name="_Toc49591395"/>
            <w:bookmarkStart w:id="536" w:name="_Toc421454283"/>
            <w:bookmarkStart w:id="537" w:name="_Toc49591743"/>
            <w:bookmarkStart w:id="538" w:name="_Toc338337637"/>
            <w:bookmarkEnd w:id="531"/>
            <w:bookmarkEnd w:id="532"/>
            <w:bookmarkEnd w:id="533"/>
            <w:bookmarkEnd w:id="538"/>
            <w:r>
              <w:rPr>
                <w:rStyle w:val="Heading3Char"/>
                <w:rFonts w:ascii="Arial" w:hAnsi="Arial"/>
                <w:b/>
                <w:bCs w:val="false"/>
                <w:sz w:val="22"/>
                <w:szCs w:val="22"/>
              </w:rPr>
              <w:t xml:space="preserve">Documents Forming the Contract and </w:t>
            </w:r>
            <w:bookmarkEnd w:id="528"/>
            <w:bookmarkEnd w:id="529"/>
            <w:bookmarkEnd w:id="530"/>
            <w:bookmarkEnd w:id="534"/>
            <w:bookmarkEnd w:id="535"/>
            <w:bookmarkEnd w:id="537"/>
            <w:r>
              <w:rPr>
                <w:rStyle w:val="Heading3Char"/>
                <w:rFonts w:ascii="Arial" w:hAnsi="Arial"/>
                <w:b/>
                <w:bCs w:val="false"/>
                <w:sz w:val="22"/>
                <w:szCs w:val="22"/>
              </w:rPr>
              <w:t>Priority of Documents</w:t>
            </w:r>
            <w:bookmarkEnd w:id="536"/>
          </w:p>
        </w:tc>
        <w:tc>
          <w:tcPr>
            <w:tcW w:w="7559" w:type="dxa"/>
            <w:tcBorders/>
          </w:tcPr>
          <w:p>
            <w:pPr>
              <w:pStyle w:val="TextBodyIndent"/>
              <w:widowControl w:val="false"/>
              <w:numPr>
                <w:ilvl w:val="0"/>
                <w:numId w:val="115"/>
              </w:numPr>
              <w:tabs>
                <w:tab w:val="clear" w:pos="720"/>
                <w:tab w:val="left" w:pos="522" w:leader="none"/>
              </w:tabs>
              <w:spacing w:before="120" w:after="80"/>
              <w:ind w:left="522" w:hanging="522"/>
              <w:jc w:val="both"/>
              <w:rPr>
                <w:rFonts w:ascii="Arial" w:hAnsi="Arial" w:cs="Arial"/>
                <w:sz w:val="22"/>
                <w:szCs w:val="22"/>
                <w:lang w:val="en-GB"/>
              </w:rPr>
            </w:pPr>
            <w:r>
              <w:rPr>
                <w:rFonts w:cs="Arial" w:ascii="Arial" w:hAnsi="Arial"/>
                <w:sz w:val="22"/>
                <w:szCs w:val="22"/>
                <w:lang w:val="en-GB"/>
              </w:rPr>
              <w:t>The following documents forming the Contract shall be in the following order of precedence, namely :</w:t>
            </w:r>
          </w:p>
          <w:p>
            <w:pPr>
              <w:pStyle w:val="Normal"/>
              <w:widowControl w:val="false"/>
              <w:numPr>
                <w:ilvl w:val="0"/>
                <w:numId w:val="5"/>
              </w:numPr>
              <w:tabs>
                <w:tab w:val="clear" w:pos="720"/>
              </w:tabs>
              <w:spacing w:lineRule="atLeast" w:line="220" w:before="120" w:after="80"/>
              <w:ind w:left="1062" w:hanging="513"/>
              <w:rPr>
                <w:rFonts w:ascii="Arial" w:hAnsi="Arial" w:cs="Arial"/>
                <w:sz w:val="22"/>
                <w:szCs w:val="22"/>
                <w:lang w:val="en-GB"/>
              </w:rPr>
            </w:pPr>
            <w:r>
              <w:rPr>
                <w:rFonts w:cs="Arial" w:ascii="Arial" w:hAnsi="Arial"/>
                <w:sz w:val="22"/>
                <w:szCs w:val="22"/>
                <w:lang w:val="en-GB"/>
              </w:rPr>
              <w:t>The signed Contract Agreement;</w:t>
            </w:r>
          </w:p>
          <w:p>
            <w:pPr>
              <w:pStyle w:val="Normal"/>
              <w:widowControl w:val="false"/>
              <w:numPr>
                <w:ilvl w:val="0"/>
                <w:numId w:val="5"/>
              </w:numPr>
              <w:tabs>
                <w:tab w:val="clear" w:pos="720"/>
              </w:tabs>
              <w:spacing w:lineRule="atLeast" w:line="220" w:before="120" w:after="80"/>
              <w:ind w:left="1062" w:hanging="513"/>
              <w:rPr>
                <w:rFonts w:ascii="Arial" w:hAnsi="Arial" w:cs="Arial"/>
                <w:sz w:val="22"/>
                <w:szCs w:val="22"/>
                <w:lang w:val="en-GB"/>
              </w:rPr>
            </w:pPr>
            <w:r>
              <w:rPr>
                <w:rFonts w:cs="Arial" w:ascii="Arial" w:hAnsi="Arial"/>
                <w:sz w:val="22"/>
                <w:szCs w:val="22"/>
                <w:lang w:val="en-GB"/>
              </w:rPr>
              <w:t>The  Notification of Award;</w:t>
            </w:r>
          </w:p>
          <w:p>
            <w:pPr>
              <w:pStyle w:val="Normal"/>
              <w:widowControl w:val="false"/>
              <w:numPr>
                <w:ilvl w:val="0"/>
                <w:numId w:val="5"/>
              </w:numPr>
              <w:tabs>
                <w:tab w:val="clear" w:pos="720"/>
              </w:tabs>
              <w:spacing w:lineRule="atLeast" w:line="220" w:before="120" w:after="80"/>
              <w:ind w:left="1062" w:hanging="513"/>
              <w:rPr>
                <w:rFonts w:ascii="Arial" w:hAnsi="Arial" w:cs="Arial"/>
                <w:sz w:val="22"/>
                <w:szCs w:val="22"/>
                <w:lang w:val="en-GB"/>
              </w:rPr>
            </w:pPr>
            <w:r>
              <w:rPr>
                <w:rFonts w:cs="Arial" w:ascii="Arial" w:hAnsi="Arial"/>
                <w:sz w:val="22"/>
                <w:szCs w:val="22"/>
                <w:lang w:val="en-GB"/>
              </w:rPr>
              <w:t>The Completed Tender;</w:t>
            </w:r>
          </w:p>
          <w:p>
            <w:pPr>
              <w:pStyle w:val="Normal"/>
              <w:widowControl w:val="false"/>
              <w:numPr>
                <w:ilvl w:val="0"/>
                <w:numId w:val="5"/>
              </w:numPr>
              <w:tabs>
                <w:tab w:val="clear" w:pos="720"/>
              </w:tabs>
              <w:spacing w:lineRule="atLeast" w:line="220" w:before="120" w:after="80"/>
              <w:ind w:left="1062" w:hanging="513"/>
              <w:rPr>
                <w:rFonts w:ascii="Arial" w:hAnsi="Arial" w:cs="Arial"/>
                <w:sz w:val="22"/>
                <w:szCs w:val="22"/>
                <w:lang w:val="en-GB"/>
              </w:rPr>
            </w:pPr>
            <w:r>
              <w:rPr>
                <w:rFonts w:cs="Arial" w:ascii="Arial" w:hAnsi="Arial"/>
                <w:sz w:val="22"/>
                <w:szCs w:val="22"/>
                <w:lang w:val="en-GB"/>
              </w:rPr>
              <w:t>Particular Conditions of Contract;</w:t>
            </w:r>
          </w:p>
          <w:p>
            <w:pPr>
              <w:pStyle w:val="Normal"/>
              <w:widowControl w:val="false"/>
              <w:numPr>
                <w:ilvl w:val="0"/>
                <w:numId w:val="5"/>
              </w:numPr>
              <w:tabs>
                <w:tab w:val="clear" w:pos="720"/>
              </w:tabs>
              <w:spacing w:lineRule="atLeast" w:line="220" w:before="120" w:after="80"/>
              <w:ind w:left="1062" w:hanging="513"/>
              <w:rPr>
                <w:rFonts w:ascii="Arial" w:hAnsi="Arial" w:cs="Arial"/>
                <w:sz w:val="22"/>
                <w:szCs w:val="22"/>
                <w:lang w:val="en-GB"/>
              </w:rPr>
            </w:pPr>
            <w:r>
              <w:rPr>
                <w:rFonts w:cs="Arial" w:ascii="Arial" w:hAnsi="Arial"/>
                <w:sz w:val="22"/>
                <w:szCs w:val="22"/>
                <w:lang w:val="en-GB"/>
              </w:rPr>
              <w:t>General Conditions of Contract;</w:t>
            </w:r>
          </w:p>
          <w:p>
            <w:pPr>
              <w:pStyle w:val="Normal"/>
              <w:widowControl w:val="false"/>
              <w:numPr>
                <w:ilvl w:val="0"/>
                <w:numId w:val="5"/>
              </w:numPr>
              <w:tabs>
                <w:tab w:val="clear" w:pos="720"/>
              </w:tabs>
              <w:spacing w:lineRule="atLeast" w:line="220" w:before="120" w:after="80"/>
              <w:ind w:left="1062" w:hanging="513"/>
              <w:rPr>
                <w:rFonts w:ascii="Arial" w:hAnsi="Arial" w:cs="Arial"/>
                <w:sz w:val="22"/>
                <w:szCs w:val="22"/>
                <w:lang w:val="en-GB"/>
              </w:rPr>
            </w:pPr>
            <w:r>
              <w:rPr>
                <w:rFonts w:cs="Arial" w:ascii="Arial" w:hAnsi="Arial"/>
                <w:sz w:val="22"/>
                <w:szCs w:val="22"/>
                <w:lang w:val="en-GB"/>
              </w:rPr>
              <w:t>Technical Specifications;</w:t>
            </w:r>
          </w:p>
          <w:p>
            <w:pPr>
              <w:pStyle w:val="Normal"/>
              <w:widowControl w:val="false"/>
              <w:numPr>
                <w:ilvl w:val="0"/>
                <w:numId w:val="5"/>
              </w:numPr>
              <w:tabs>
                <w:tab w:val="clear" w:pos="720"/>
              </w:tabs>
              <w:spacing w:lineRule="atLeast" w:line="220" w:before="120" w:after="80"/>
              <w:ind w:left="1062" w:hanging="513"/>
              <w:rPr>
                <w:rFonts w:ascii="Arial" w:hAnsi="Arial" w:cs="Arial"/>
                <w:sz w:val="22"/>
                <w:szCs w:val="22"/>
                <w:lang w:val="en-GB"/>
              </w:rPr>
            </w:pPr>
            <w:r>
              <w:rPr>
                <w:rFonts w:cs="Arial" w:ascii="Arial" w:hAnsi="Arial"/>
                <w:sz w:val="22"/>
                <w:szCs w:val="22"/>
                <w:lang w:val="en-GB"/>
              </w:rPr>
              <w:t>Drawings;</w:t>
            </w:r>
          </w:p>
          <w:p>
            <w:pPr>
              <w:pStyle w:val="Normal"/>
              <w:widowControl w:val="false"/>
              <w:numPr>
                <w:ilvl w:val="0"/>
                <w:numId w:val="5"/>
              </w:numPr>
              <w:tabs>
                <w:tab w:val="clear" w:pos="720"/>
              </w:tabs>
              <w:spacing w:lineRule="atLeast" w:line="220" w:before="120" w:after="80"/>
              <w:ind w:left="1062" w:hanging="513"/>
              <w:rPr>
                <w:rFonts w:ascii="Arial" w:hAnsi="Arial" w:cs="Arial"/>
                <w:sz w:val="22"/>
                <w:szCs w:val="22"/>
                <w:lang w:val="en-GB"/>
              </w:rPr>
            </w:pPr>
            <w:r>
              <w:rPr>
                <w:rFonts w:cs="Arial" w:ascii="Arial" w:hAnsi="Arial"/>
                <w:sz w:val="22"/>
                <w:szCs w:val="22"/>
                <w:lang w:val="en-GB"/>
              </w:rPr>
              <w:t>Priced  Schedule and Schedule of Requirements and ;</w:t>
            </w:r>
          </w:p>
          <w:p>
            <w:pPr>
              <w:pStyle w:val="Normal"/>
              <w:widowControl w:val="false"/>
              <w:numPr>
                <w:ilvl w:val="0"/>
                <w:numId w:val="5"/>
              </w:numPr>
              <w:tabs>
                <w:tab w:val="clear" w:pos="720"/>
              </w:tabs>
              <w:spacing w:lineRule="atLeast" w:line="220" w:before="120" w:after="80"/>
              <w:ind w:left="1062" w:hanging="513"/>
              <w:rPr>
                <w:rFonts w:ascii="Arial" w:hAnsi="Arial" w:cs="Arial"/>
                <w:sz w:val="22"/>
                <w:szCs w:val="22"/>
                <w:lang w:val="en-GB"/>
              </w:rPr>
            </w:pPr>
            <w:r>
              <w:rPr>
                <w:rFonts w:cs="Arial" w:ascii="Arial" w:hAnsi="Arial"/>
                <w:sz w:val="22"/>
                <w:szCs w:val="22"/>
                <w:lang w:val="en-GB"/>
              </w:rPr>
              <w:t xml:space="preserve">Other Documents including correspondences listed in the </w:t>
            </w:r>
            <w:r>
              <w:rPr>
                <w:rFonts w:cs="Arial" w:ascii="Arial" w:hAnsi="Arial"/>
                <w:b/>
                <w:sz w:val="22"/>
                <w:szCs w:val="22"/>
                <w:lang w:val="en-GB"/>
              </w:rPr>
              <w:t>PCC</w:t>
            </w:r>
            <w:r>
              <w:rPr>
                <w:rFonts w:cs="Arial" w:ascii="Arial" w:hAnsi="Arial"/>
                <w:sz w:val="22"/>
                <w:szCs w:val="22"/>
                <w:lang w:val="en-GB"/>
              </w:rPr>
              <w:t xml:space="preserve"> forming part of the Contract.</w:t>
            </w:r>
          </w:p>
        </w:tc>
      </w:tr>
      <w:tr>
        <w:trPr/>
        <w:tc>
          <w:tcPr>
            <w:tcW w:w="2052" w:type="dxa"/>
            <w:vMerge w:val="restart"/>
            <w:tcBorders/>
            <w:shd w:color="auto" w:fill="auto" w:val="clear"/>
          </w:tcPr>
          <w:p>
            <w:pPr>
              <w:pStyle w:val="Normal"/>
              <w:widowControl w:val="false"/>
              <w:numPr>
                <w:ilvl w:val="0"/>
                <w:numId w:val="95"/>
              </w:numPr>
              <w:tabs>
                <w:tab w:val="clear" w:pos="720"/>
                <w:tab w:val="left" w:pos="405" w:leader="none"/>
              </w:tabs>
              <w:spacing w:before="120" w:after="80"/>
              <w:ind w:left="414" w:hanging="342"/>
              <w:outlineLvl w:val="2"/>
              <w:rPr>
                <w:rStyle w:val="Heading3Char"/>
                <w:rFonts w:ascii="Arial" w:hAnsi="Arial"/>
                <w:b/>
                <w:b/>
                <w:bCs w:val="false"/>
                <w:sz w:val="22"/>
                <w:szCs w:val="22"/>
              </w:rPr>
            </w:pPr>
            <w:bookmarkStart w:id="539" w:name="_Toc421454284"/>
            <w:r>
              <w:rPr>
                <w:rStyle w:val="Heading3Char"/>
                <w:rFonts w:ascii="Arial" w:hAnsi="Arial"/>
                <w:b/>
                <w:bCs w:val="false"/>
                <w:sz w:val="22"/>
                <w:szCs w:val="22"/>
              </w:rPr>
              <w:t>Scope of Supply</w:t>
            </w:r>
            <w:bookmarkEnd w:id="539"/>
          </w:p>
        </w:tc>
        <w:tc>
          <w:tcPr>
            <w:tcW w:w="7559" w:type="dxa"/>
            <w:tcBorders/>
          </w:tcPr>
          <w:p>
            <w:pPr>
              <w:pStyle w:val="TextBodyIndent"/>
              <w:widowControl w:val="false"/>
              <w:numPr>
                <w:ilvl w:val="1"/>
                <w:numId w:val="5"/>
              </w:numPr>
              <w:tabs>
                <w:tab w:val="clear" w:pos="720"/>
                <w:tab w:val="left" w:pos="612" w:leader="none"/>
              </w:tabs>
              <w:spacing w:before="120" w:after="80"/>
              <w:ind w:left="612" w:hanging="612"/>
              <w:jc w:val="both"/>
              <w:rPr>
                <w:rFonts w:ascii="Arial" w:hAnsi="Arial" w:cs="Arial"/>
                <w:sz w:val="22"/>
                <w:szCs w:val="22"/>
                <w:lang w:val="en-GB"/>
              </w:rPr>
            </w:pPr>
            <w:r>
              <w:rPr>
                <w:rFonts w:cs="Arial" w:ascii="Arial" w:hAnsi="Arial"/>
                <w:sz w:val="22"/>
                <w:szCs w:val="22"/>
                <w:lang w:val="en-GB"/>
              </w:rPr>
              <w:t xml:space="preserve">Subject to the </w:t>
            </w:r>
            <w:r>
              <w:rPr>
                <w:rFonts w:cs="Arial" w:ascii="Arial" w:hAnsi="Arial"/>
                <w:b/>
                <w:sz w:val="22"/>
                <w:szCs w:val="22"/>
                <w:lang w:val="en-GB"/>
              </w:rPr>
              <w:t>PCC,</w:t>
            </w:r>
            <w:r>
              <w:rPr>
                <w:rFonts w:cs="Arial" w:ascii="Arial" w:hAnsi="Arial"/>
                <w:sz w:val="22"/>
                <w:szCs w:val="22"/>
                <w:lang w:val="en-GB"/>
              </w:rPr>
              <w:t xml:space="preserve"> the Goods and related services to be supplied shall be as specified in Section 6: Schedule of Requirements.</w:t>
            </w:r>
          </w:p>
        </w:tc>
      </w:tr>
      <w:tr>
        <w:trPr/>
        <w:tc>
          <w:tcPr>
            <w:tcW w:w="2052" w:type="dxa"/>
            <w:vMerge w:val="continue"/>
            <w:tcBorders/>
            <w:shd w:color="auto" w:fill="auto" w:val="clear"/>
          </w:tcPr>
          <w:p>
            <w:pPr>
              <w:pStyle w:val="Normal"/>
              <w:widowControl w:val="false"/>
              <w:numPr>
                <w:ilvl w:val="0"/>
                <w:numId w:val="0"/>
              </w:numPr>
              <w:spacing w:before="120" w:after="80"/>
              <w:ind w:left="72" w:hanging="0"/>
              <w:outlineLvl w:val="2"/>
              <w:rPr>
                <w:rStyle w:val="Heading3Char"/>
                <w:rFonts w:ascii="Arial" w:hAnsi="Arial"/>
                <w:b/>
                <w:b/>
                <w:bCs w:val="false"/>
                <w:sz w:val="22"/>
                <w:szCs w:val="22"/>
              </w:rPr>
            </w:pPr>
            <w:r>
              <w:rPr>
                <w:rFonts w:ascii="Arial" w:hAnsi="Arial"/>
                <w:b/>
                <w:bCs w:val="false"/>
                <w:sz w:val="22"/>
                <w:szCs w:val="22"/>
              </w:rPr>
            </w:r>
          </w:p>
        </w:tc>
        <w:tc>
          <w:tcPr>
            <w:tcW w:w="7559" w:type="dxa"/>
            <w:tcBorders/>
          </w:tcPr>
          <w:p>
            <w:pPr>
              <w:pStyle w:val="TextBodyIndent"/>
              <w:widowControl w:val="false"/>
              <w:numPr>
                <w:ilvl w:val="1"/>
                <w:numId w:val="5"/>
              </w:numPr>
              <w:tabs>
                <w:tab w:val="clear" w:pos="720"/>
                <w:tab w:val="left" w:pos="612" w:leader="none"/>
              </w:tabs>
              <w:spacing w:before="120" w:after="80"/>
              <w:ind w:left="612" w:hanging="612"/>
              <w:jc w:val="both"/>
              <w:rPr>
                <w:rFonts w:ascii="Arial" w:hAnsi="Arial" w:cs="Arial"/>
                <w:sz w:val="22"/>
                <w:szCs w:val="22"/>
                <w:lang w:val="en-GB"/>
              </w:rPr>
            </w:pPr>
            <w:r>
              <w:rPr>
                <w:rFonts w:cs="Arial" w:ascii="Arial" w:hAnsi="Arial"/>
                <w:sz w:val="22"/>
                <w:szCs w:val="22"/>
                <w:lang w:val="en-GB"/>
              </w:rPr>
              <w:t>Unless otherwise stipulated in the Contract, the Scope of Supply shall include all such items not specifically mentioned in the Contract but that can be reasonably inferred from the Contract as being required for attaining delivery and completion of the Goods and related services as if such items were expressly mentioned in the Contract Agreement.</w:t>
            </w:r>
          </w:p>
          <w:p>
            <w:pPr>
              <w:pStyle w:val="TextBodyIndent"/>
              <w:widowControl w:val="false"/>
              <w:spacing w:before="120" w:after="80"/>
              <w:jc w:val="both"/>
              <w:rPr>
                <w:rFonts w:ascii="Arial" w:hAnsi="Arial" w:cs="Arial"/>
                <w:sz w:val="22"/>
                <w:szCs w:val="22"/>
                <w:lang w:val="en-GB"/>
              </w:rPr>
            </w:pPr>
            <w:r>
              <w:rPr>
                <w:rFonts w:cs="Arial" w:ascii="Arial" w:hAnsi="Arial"/>
                <w:sz w:val="22"/>
                <w:szCs w:val="22"/>
                <w:lang w:val="en-GB"/>
              </w:rPr>
            </w:r>
          </w:p>
          <w:p>
            <w:pPr>
              <w:pStyle w:val="TextBodyIndent"/>
              <w:widowControl w:val="false"/>
              <w:spacing w:before="120" w:after="80"/>
              <w:jc w:val="both"/>
              <w:rPr>
                <w:rFonts w:ascii="Arial" w:hAnsi="Arial" w:cs="Arial"/>
                <w:sz w:val="22"/>
                <w:szCs w:val="22"/>
                <w:lang w:val="en-GB"/>
              </w:rPr>
            </w:pPr>
            <w:r>
              <w:rPr>
                <w:rFonts w:cs="Arial" w:ascii="Arial" w:hAnsi="Arial"/>
                <w:sz w:val="22"/>
                <w:szCs w:val="22"/>
                <w:lang w:val="en-GB"/>
              </w:rPr>
            </w:r>
          </w:p>
        </w:tc>
      </w:tr>
      <w:tr>
        <w:trPr/>
        <w:tc>
          <w:tcPr>
            <w:tcW w:w="2052" w:type="dxa"/>
            <w:tcBorders/>
            <w:shd w:color="auto" w:fill="auto" w:val="clear"/>
          </w:tcPr>
          <w:p>
            <w:pPr>
              <w:pStyle w:val="Normal"/>
              <w:widowControl w:val="false"/>
              <w:numPr>
                <w:ilvl w:val="0"/>
                <w:numId w:val="95"/>
              </w:numPr>
              <w:tabs>
                <w:tab w:val="clear" w:pos="720"/>
                <w:tab w:val="left" w:pos="405" w:leader="none"/>
              </w:tabs>
              <w:spacing w:before="120" w:after="80"/>
              <w:ind w:left="414" w:hanging="342"/>
              <w:outlineLvl w:val="2"/>
              <w:rPr>
                <w:rStyle w:val="Heading3Char"/>
                <w:rFonts w:ascii="Arial" w:hAnsi="Arial"/>
                <w:b/>
                <w:b/>
                <w:bCs w:val="false"/>
                <w:sz w:val="22"/>
                <w:szCs w:val="22"/>
              </w:rPr>
            </w:pPr>
            <w:bookmarkStart w:id="540" w:name="_Toc421454285"/>
            <w:r>
              <w:rPr>
                <w:rStyle w:val="Heading3Char"/>
                <w:rFonts w:ascii="Arial" w:hAnsi="Arial"/>
                <w:b/>
                <w:bCs w:val="false"/>
                <w:sz w:val="22"/>
                <w:szCs w:val="22"/>
              </w:rPr>
              <w:t>Assignment</w:t>
            </w:r>
            <w:bookmarkEnd w:id="540"/>
          </w:p>
        </w:tc>
        <w:tc>
          <w:tcPr>
            <w:tcW w:w="7559" w:type="dxa"/>
            <w:tcBorders/>
          </w:tcPr>
          <w:p>
            <w:pPr>
              <w:pStyle w:val="SubClauseText"/>
              <w:widowControl w:val="false"/>
              <w:numPr>
                <w:ilvl w:val="0"/>
                <w:numId w:val="116"/>
              </w:numPr>
              <w:tabs>
                <w:tab w:val="clear" w:pos="720"/>
                <w:tab w:val="left" w:pos="612" w:leader="none"/>
              </w:tabs>
              <w:spacing w:before="120" w:after="80"/>
              <w:ind w:left="612" w:hanging="612"/>
              <w:rPr>
                <w:rFonts w:ascii="Arial" w:hAnsi="Arial" w:cs="Arial"/>
                <w:sz w:val="22"/>
                <w:szCs w:val="22"/>
                <w:lang w:val="en-GB"/>
              </w:rPr>
            </w:pPr>
            <w:r>
              <w:rPr>
                <w:rFonts w:cs="Arial" w:ascii="Arial" w:hAnsi="Arial"/>
                <w:sz w:val="22"/>
                <w:szCs w:val="22"/>
                <w:lang w:val="en-GB"/>
              </w:rPr>
              <w:t>The Supplier shall not assign his rights or obligations under the Contract, in whole or in part, except with the Procuring Entity’s prior written consent.</w:t>
            </w:r>
          </w:p>
        </w:tc>
      </w:tr>
      <w:tr>
        <w:trPr/>
        <w:tc>
          <w:tcPr>
            <w:tcW w:w="2052" w:type="dxa"/>
            <w:vMerge w:val="restart"/>
            <w:tcBorders/>
            <w:shd w:color="auto" w:fill="auto" w:val="clear"/>
          </w:tcPr>
          <w:p>
            <w:pPr>
              <w:pStyle w:val="Normal"/>
              <w:widowControl w:val="false"/>
              <w:numPr>
                <w:ilvl w:val="0"/>
                <w:numId w:val="95"/>
              </w:numPr>
              <w:tabs>
                <w:tab w:val="clear" w:pos="720"/>
                <w:tab w:val="left" w:pos="387" w:leader="none"/>
              </w:tabs>
              <w:spacing w:before="120" w:after="80"/>
              <w:ind w:left="414" w:hanging="342"/>
              <w:outlineLvl w:val="2"/>
              <w:rPr>
                <w:rStyle w:val="Heading3Char"/>
                <w:rFonts w:ascii="Arial" w:hAnsi="Arial"/>
                <w:b/>
                <w:b/>
                <w:bCs w:val="false"/>
                <w:sz w:val="22"/>
                <w:szCs w:val="22"/>
              </w:rPr>
            </w:pPr>
            <w:bookmarkStart w:id="541" w:name="_Toc49591744"/>
            <w:bookmarkStart w:id="542" w:name="_Toc49591396"/>
            <w:bookmarkStart w:id="543" w:name="_Toc49569834"/>
            <w:bookmarkStart w:id="544" w:name="_Toc421454286"/>
            <w:bookmarkStart w:id="545" w:name="_Toc49504263"/>
            <w:bookmarkStart w:id="546" w:name="_Toc49504814"/>
            <w:bookmarkStart w:id="547" w:name="_Toc49504696"/>
            <w:r>
              <w:rPr>
                <w:rStyle w:val="Heading3Char"/>
                <w:rFonts w:ascii="Arial" w:hAnsi="Arial"/>
                <w:b/>
                <w:bCs w:val="false"/>
                <w:sz w:val="22"/>
                <w:szCs w:val="22"/>
              </w:rPr>
              <w:t>Eligibility</w:t>
            </w:r>
            <w:bookmarkEnd w:id="541"/>
            <w:bookmarkEnd w:id="542"/>
            <w:bookmarkEnd w:id="543"/>
            <w:bookmarkEnd w:id="544"/>
            <w:bookmarkEnd w:id="545"/>
            <w:bookmarkEnd w:id="546"/>
            <w:bookmarkEnd w:id="547"/>
          </w:p>
        </w:tc>
        <w:tc>
          <w:tcPr>
            <w:tcW w:w="7559" w:type="dxa"/>
            <w:tcBorders/>
          </w:tcPr>
          <w:p>
            <w:pPr>
              <w:pStyle w:val="SubClauseText"/>
              <w:widowControl w:val="false"/>
              <w:numPr>
                <w:ilvl w:val="1"/>
                <w:numId w:val="116"/>
              </w:numPr>
              <w:tabs>
                <w:tab w:val="clear" w:pos="720"/>
                <w:tab w:val="left" w:pos="612" w:leader="none"/>
              </w:tabs>
              <w:spacing w:before="120" w:after="80"/>
              <w:ind w:left="612" w:hanging="612"/>
              <w:rPr>
                <w:rFonts w:ascii="Arial" w:hAnsi="Arial" w:cs="Arial"/>
                <w:sz w:val="22"/>
                <w:szCs w:val="22"/>
                <w:lang w:val="en-GB"/>
              </w:rPr>
            </w:pPr>
            <w:r>
              <w:rPr>
                <w:rFonts w:cs="Arial" w:ascii="Arial" w:hAnsi="Arial"/>
                <w:sz w:val="22"/>
                <w:szCs w:val="22"/>
                <w:lang w:val="en-GB"/>
              </w:rPr>
              <w:t xml:space="preserve">The Supplier and its Subcontractor(s) shall have the nationality of a country other than that specified in the </w:t>
            </w:r>
            <w:r>
              <w:rPr>
                <w:rFonts w:cs="Arial" w:ascii="Arial" w:hAnsi="Arial"/>
                <w:b/>
                <w:sz w:val="22"/>
                <w:szCs w:val="22"/>
                <w:lang w:val="en-GB"/>
              </w:rPr>
              <w:t>PCC.</w:t>
            </w:r>
          </w:p>
        </w:tc>
      </w:tr>
      <w:tr>
        <w:trPr/>
        <w:tc>
          <w:tcPr>
            <w:tcW w:w="2052" w:type="dxa"/>
            <w:vMerge w:val="continue"/>
            <w:tcBorders/>
            <w:shd w:color="auto" w:fill="auto" w:val="clear"/>
          </w:tcPr>
          <w:p>
            <w:pPr>
              <w:pStyle w:val="Normal"/>
              <w:widowControl w:val="false"/>
              <w:spacing w:before="120" w:after="8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1"/>
                <w:numId w:val="116"/>
              </w:numPr>
              <w:tabs>
                <w:tab w:val="clear" w:pos="720"/>
                <w:tab w:val="left" w:pos="612" w:leader="none"/>
              </w:tabs>
              <w:spacing w:before="120" w:after="80"/>
              <w:ind w:left="612" w:hanging="612"/>
              <w:rPr>
                <w:rFonts w:ascii="Arial" w:hAnsi="Arial" w:cs="Arial"/>
                <w:sz w:val="22"/>
                <w:szCs w:val="22"/>
                <w:lang w:val="en-GB"/>
              </w:rPr>
            </w:pPr>
            <w:r>
              <w:rPr>
                <w:rFonts w:cs="Arial" w:ascii="Arial" w:hAnsi="Arial"/>
                <w:sz w:val="22"/>
                <w:szCs w:val="22"/>
                <w:lang w:val="en-GB"/>
              </w:rPr>
              <w:t xml:space="preserve">All Goods and related services to be supplied under the Contract shall have their origin in the countries except any specified in the </w:t>
            </w:r>
            <w:r>
              <w:rPr>
                <w:rFonts w:cs="Arial" w:ascii="Arial" w:hAnsi="Arial"/>
                <w:b/>
                <w:sz w:val="22"/>
                <w:szCs w:val="22"/>
                <w:lang w:val="en-GB"/>
              </w:rPr>
              <w:t>PCC</w:t>
            </w:r>
            <w:r>
              <w:rPr>
                <w:rFonts w:cs="Arial" w:ascii="Arial" w:hAnsi="Arial"/>
                <w:sz w:val="22"/>
                <w:szCs w:val="22"/>
                <w:lang w:val="en-GB"/>
              </w:rPr>
              <w:t>.</w:t>
            </w:r>
          </w:p>
        </w:tc>
      </w:tr>
      <w:tr>
        <w:trPr/>
        <w:tc>
          <w:tcPr>
            <w:tcW w:w="2052" w:type="dxa"/>
            <w:tcBorders/>
          </w:tcPr>
          <w:p>
            <w:pPr>
              <w:pStyle w:val="Normal"/>
              <w:widowControl w:val="false"/>
              <w:numPr>
                <w:ilvl w:val="0"/>
                <w:numId w:val="95"/>
              </w:numPr>
              <w:tabs>
                <w:tab w:val="clear" w:pos="720"/>
                <w:tab w:val="left" w:pos="387" w:leader="none"/>
              </w:tabs>
              <w:spacing w:before="120" w:after="80"/>
              <w:ind w:left="414" w:hanging="342"/>
              <w:outlineLvl w:val="2"/>
              <w:rPr>
                <w:rStyle w:val="Heading3Char"/>
                <w:rFonts w:ascii="Arial" w:hAnsi="Arial"/>
                <w:b/>
                <w:b/>
                <w:bCs w:val="false"/>
                <w:sz w:val="22"/>
                <w:szCs w:val="22"/>
              </w:rPr>
            </w:pPr>
            <w:bookmarkStart w:id="548" w:name="_Toc338337648"/>
            <w:bookmarkStart w:id="549" w:name="_Toc49160692"/>
            <w:bookmarkStart w:id="550" w:name="_Toc49504699"/>
            <w:bookmarkStart w:id="551" w:name="_Toc49591747"/>
            <w:bookmarkStart w:id="552" w:name="_Toc421454287"/>
            <w:bookmarkStart w:id="553" w:name="_Toc49591399"/>
            <w:bookmarkStart w:id="554" w:name="_Toc49504817"/>
            <w:bookmarkStart w:id="555" w:name="_Toc49159807"/>
            <w:bookmarkStart w:id="556" w:name="_Toc49569837"/>
            <w:bookmarkStart w:id="557" w:name="_Toc49159620"/>
            <w:bookmarkStart w:id="558" w:name="_Toc49504266"/>
            <w:bookmarkEnd w:id="548"/>
            <w:r>
              <w:rPr>
                <w:rStyle w:val="Heading3Char"/>
                <w:rFonts w:ascii="Arial" w:hAnsi="Arial"/>
                <w:b/>
                <w:bCs w:val="false"/>
                <w:sz w:val="22"/>
                <w:szCs w:val="22"/>
              </w:rPr>
              <w:t>Gratuities</w:t>
            </w:r>
            <w:bookmarkStart w:id="559" w:name="_Toc313799869"/>
            <w:r>
              <w:rPr>
                <w:b/>
                <w:sz w:val="22"/>
                <w:szCs w:val="22"/>
              </w:rPr>
              <w:t xml:space="preserve"> /  </w:t>
            </w:r>
            <w:r>
              <w:rPr>
                <w:rFonts w:cs="Arial" w:ascii="Arial" w:hAnsi="Arial"/>
                <w:b/>
                <w:sz w:val="22"/>
                <w:szCs w:val="22"/>
              </w:rPr>
              <w:t>Agency Fees</w:t>
            </w:r>
            <w:bookmarkEnd w:id="549"/>
            <w:bookmarkEnd w:id="550"/>
            <w:bookmarkEnd w:id="551"/>
            <w:bookmarkEnd w:id="552"/>
            <w:bookmarkEnd w:id="553"/>
            <w:bookmarkEnd w:id="554"/>
            <w:bookmarkEnd w:id="555"/>
            <w:bookmarkEnd w:id="556"/>
            <w:bookmarkEnd w:id="557"/>
            <w:bookmarkEnd w:id="558"/>
            <w:bookmarkEnd w:id="559"/>
          </w:p>
        </w:tc>
        <w:tc>
          <w:tcPr>
            <w:tcW w:w="7559" w:type="dxa"/>
            <w:tcBorders/>
          </w:tcPr>
          <w:p>
            <w:pPr>
              <w:pStyle w:val="Normal"/>
              <w:widowControl w:val="false"/>
              <w:numPr>
                <w:ilvl w:val="0"/>
                <w:numId w:val="117"/>
              </w:numPr>
              <w:spacing w:before="120" w:after="80"/>
              <w:jc w:val="both"/>
              <w:rPr>
                <w:rFonts w:ascii="Arial" w:hAnsi="Arial" w:cs="Arial"/>
                <w:sz w:val="22"/>
                <w:szCs w:val="22"/>
                <w:lang w:val="en-GB"/>
              </w:rPr>
            </w:pPr>
            <w:r>
              <w:rPr>
                <w:rFonts w:cs="Arial" w:ascii="Arial" w:hAnsi="Arial"/>
                <w:sz w:val="22"/>
                <w:szCs w:val="22"/>
                <w:lang w:val="en-GB"/>
              </w:rPr>
              <w:t>No fees, gratuities, rebates, gifts, commissions or other payments, other than those shown in the Tender or the contract, shall be given or received in connection with the procurement process or in the contract execution.</w:t>
            </w:r>
          </w:p>
        </w:tc>
      </w:tr>
      <w:tr>
        <w:trPr>
          <w:trHeight w:val="1908" w:hRule="atLeast"/>
        </w:trPr>
        <w:tc>
          <w:tcPr>
            <w:tcW w:w="2052" w:type="dxa"/>
            <w:vMerge w:val="restart"/>
            <w:tcBorders/>
            <w:shd w:color="auto" w:fill="auto" w:val="clear"/>
          </w:tcPr>
          <w:p>
            <w:pPr>
              <w:pStyle w:val="Normal"/>
              <w:widowControl w:val="false"/>
              <w:numPr>
                <w:ilvl w:val="0"/>
                <w:numId w:val="95"/>
              </w:numPr>
              <w:tabs>
                <w:tab w:val="clear" w:pos="720"/>
                <w:tab w:val="left" w:pos="369" w:leader="none"/>
              </w:tabs>
              <w:spacing w:before="120" w:after="80"/>
              <w:ind w:left="414" w:hanging="342"/>
              <w:outlineLvl w:val="2"/>
              <w:rPr>
                <w:rStyle w:val="Heading3Char"/>
                <w:rFonts w:ascii="Arial" w:hAnsi="Arial"/>
                <w:b/>
                <w:b/>
                <w:bCs w:val="false"/>
                <w:sz w:val="22"/>
                <w:szCs w:val="22"/>
              </w:rPr>
            </w:pPr>
            <w:bookmarkStart w:id="560" w:name="_Toc421454288"/>
            <w:r>
              <w:rPr>
                <w:rStyle w:val="Heading3Char"/>
                <w:rFonts w:ascii="Arial" w:hAnsi="Arial"/>
                <w:b/>
                <w:bCs w:val="false"/>
                <w:sz w:val="22"/>
                <w:szCs w:val="22"/>
              </w:rPr>
              <w:t>Confidential Details</w:t>
            </w:r>
            <w:bookmarkEnd w:id="560"/>
          </w:p>
        </w:tc>
        <w:tc>
          <w:tcPr>
            <w:tcW w:w="7559" w:type="dxa"/>
            <w:tcBorders/>
          </w:tcPr>
          <w:p>
            <w:pPr>
              <w:pStyle w:val="Style21"/>
              <w:widowControl w:val="false"/>
              <w:numPr>
                <w:ilvl w:val="0"/>
                <w:numId w:val="118"/>
              </w:numPr>
              <w:spacing w:before="120" w:after="80"/>
              <w:jc w:val="both"/>
              <w:rPr>
                <w:rFonts w:ascii="Arial" w:hAnsi="Arial" w:cs="Arial"/>
                <w:sz w:val="22"/>
                <w:szCs w:val="22"/>
                <w:lang w:val="en-GB" w:eastAsia="zh-CN"/>
              </w:rPr>
            </w:pPr>
            <w:bookmarkStart w:id="561" w:name="_Ref33428654"/>
            <w:r>
              <w:rPr>
                <w:rFonts w:cs="Arial" w:ascii="Arial" w:hAnsi="Arial"/>
                <w:sz w:val="22"/>
                <w:szCs w:val="22"/>
                <w:lang w:val="en-GB" w:eastAsia="zh-CN"/>
              </w:rPr>
              <w:t>The Supplier shall not, except for purposes of performing the obligations in this Contract, without the Procuring Entity’s prior written consent, disclose this Contract, or any provision thereof, or any specification, plan, drawing, pattern, sample, or information furnished by or on behalf of the Procuring Entity.  Any such disclosure shall be made in confidence and shall extend only as far as may be necessary for purposes of such performance.</w:t>
            </w:r>
            <w:bookmarkEnd w:id="561"/>
          </w:p>
        </w:tc>
      </w:tr>
      <w:tr>
        <w:trPr>
          <w:trHeight w:val="1458" w:hRule="atLeast"/>
        </w:trPr>
        <w:tc>
          <w:tcPr>
            <w:tcW w:w="2052" w:type="dxa"/>
            <w:vMerge w:val="continue"/>
            <w:tcBorders/>
            <w:shd w:color="auto" w:fill="auto" w:val="clear"/>
          </w:tcPr>
          <w:p>
            <w:pPr>
              <w:pStyle w:val="Heading4"/>
              <w:widowControl w:val="false"/>
              <w:tabs>
                <w:tab w:val="clear" w:pos="720"/>
                <w:tab w:val="left" w:pos="414" w:leader="none"/>
              </w:tabs>
              <w:spacing w:before="120" w:after="80"/>
              <w:ind w:left="324" w:hanging="234"/>
              <w:rPr>
                <w:rFonts w:ascii="Arial" w:hAnsi="Arial" w:cs="Arial"/>
                <w:sz w:val="21"/>
                <w:szCs w:val="21"/>
                <w:lang w:val="en-GB"/>
              </w:rPr>
            </w:pPr>
            <w:r>
              <w:rPr>
                <w:rFonts w:cs="Arial" w:ascii="Arial" w:hAnsi="Arial"/>
                <w:sz w:val="21"/>
                <w:szCs w:val="21"/>
                <w:lang w:val="en-GB"/>
              </w:rPr>
            </w:r>
          </w:p>
        </w:tc>
        <w:tc>
          <w:tcPr>
            <w:tcW w:w="7559" w:type="dxa"/>
            <w:tcBorders/>
          </w:tcPr>
          <w:p>
            <w:pPr>
              <w:pStyle w:val="Style21"/>
              <w:widowControl w:val="false"/>
              <w:numPr>
                <w:ilvl w:val="0"/>
                <w:numId w:val="118"/>
              </w:numPr>
              <w:spacing w:before="120" w:after="80"/>
              <w:jc w:val="both"/>
              <w:rPr>
                <w:rFonts w:ascii="Arial" w:hAnsi="Arial" w:cs="Arial"/>
                <w:sz w:val="22"/>
                <w:szCs w:val="22"/>
                <w:lang w:val="en-GB" w:eastAsia="zh-CN"/>
              </w:rPr>
            </w:pPr>
            <w:r>
              <w:rPr>
                <w:rFonts w:cs="Arial" w:ascii="Arial" w:hAnsi="Arial"/>
                <w:sz w:val="22"/>
                <w:szCs w:val="22"/>
                <w:lang w:val="en-GB" w:eastAsia="zh-CN"/>
              </w:rPr>
              <w:t>Any document, other than this Contract itself, enumerated in GCC Clause 12.1 shall remain the property of the Procuring Entity and shall be returned (all copies) to the Procuring Entity on completion of the Supplier’s performance under this Contract if so required by the Procuring Entity.</w:t>
            </w:r>
          </w:p>
        </w:tc>
      </w:tr>
      <w:tr>
        <w:trPr>
          <w:trHeight w:val="1827" w:hRule="atLeast"/>
        </w:trPr>
        <w:tc>
          <w:tcPr>
            <w:tcW w:w="2052" w:type="dxa"/>
            <w:tcBorders/>
            <w:shd w:color="auto" w:fill="auto" w:val="clear"/>
          </w:tcPr>
          <w:p>
            <w:pPr>
              <w:pStyle w:val="Normal"/>
              <w:widowControl w:val="false"/>
              <w:numPr>
                <w:ilvl w:val="0"/>
                <w:numId w:val="95"/>
              </w:numPr>
              <w:tabs>
                <w:tab w:val="clear" w:pos="720"/>
                <w:tab w:val="left" w:pos="369" w:leader="none"/>
              </w:tabs>
              <w:spacing w:before="100" w:after="80"/>
              <w:ind w:left="414" w:hanging="342"/>
              <w:outlineLvl w:val="2"/>
              <w:rPr>
                <w:rStyle w:val="Heading3Char"/>
                <w:rFonts w:ascii="Arial" w:hAnsi="Arial"/>
                <w:b/>
                <w:b/>
                <w:bCs w:val="false"/>
                <w:sz w:val="22"/>
                <w:szCs w:val="22"/>
              </w:rPr>
            </w:pPr>
            <w:bookmarkStart w:id="562" w:name="_Toc338337663"/>
            <w:bookmarkStart w:id="563" w:name="_Toc421454289"/>
            <w:bookmarkStart w:id="564" w:name="_Toc338337660"/>
            <w:bookmarkEnd w:id="562"/>
            <w:bookmarkEnd w:id="564"/>
            <w:r>
              <w:rPr>
                <w:rStyle w:val="Heading3Char"/>
                <w:rFonts w:ascii="Arial" w:hAnsi="Arial"/>
                <w:b/>
                <w:bCs w:val="false"/>
                <w:sz w:val="22"/>
                <w:szCs w:val="22"/>
              </w:rPr>
              <w:t>Trademark, Patent and Intellectual Property Rights</w:t>
            </w:r>
            <w:bookmarkEnd w:id="563"/>
          </w:p>
        </w:tc>
        <w:tc>
          <w:tcPr>
            <w:tcW w:w="7559" w:type="dxa"/>
            <w:tcBorders/>
          </w:tcPr>
          <w:p>
            <w:pPr>
              <w:pStyle w:val="SubClauseText"/>
              <w:widowControl w:val="false"/>
              <w:numPr>
                <w:ilvl w:val="0"/>
                <w:numId w:val="119"/>
              </w:numPr>
              <w:spacing w:before="100" w:after="80"/>
              <w:rPr>
                <w:rFonts w:ascii="Arial" w:hAnsi="Arial" w:cs="Arial"/>
                <w:sz w:val="22"/>
                <w:szCs w:val="22"/>
                <w:lang w:val="en-GB"/>
              </w:rPr>
            </w:pPr>
            <w:r>
              <w:rPr>
                <w:rFonts w:cs="Arial" w:ascii="Arial" w:hAnsi="Arial"/>
                <w:sz w:val="22"/>
                <w:szCs w:val="22"/>
                <w:lang w:val="en-GB"/>
              </w:rPr>
              <w:t>The Procuring Entity should not be liable for any infringement of intellectual property rights arising from use of the goods procured. In case there are third-party claims of such infringement of patent, trademark, or industrial design rights, the supplier must indemnify and hold the Procuring Entity free and harmless against such claims and shall not be in contravention of Trademark Act, 2009 and Patent and Design Act, 1911.</w:t>
            </w:r>
          </w:p>
        </w:tc>
      </w:tr>
      <w:tr>
        <w:trPr/>
        <w:tc>
          <w:tcPr>
            <w:tcW w:w="2052" w:type="dxa"/>
            <w:tcBorders/>
          </w:tcPr>
          <w:p>
            <w:pPr>
              <w:pStyle w:val="Normal"/>
              <w:widowControl w:val="false"/>
              <w:numPr>
                <w:ilvl w:val="0"/>
                <w:numId w:val="95"/>
              </w:numPr>
              <w:tabs>
                <w:tab w:val="clear" w:pos="720"/>
                <w:tab w:val="left" w:pos="369" w:leader="none"/>
              </w:tabs>
              <w:spacing w:before="100" w:after="80"/>
              <w:ind w:left="414" w:hanging="342"/>
              <w:outlineLvl w:val="2"/>
              <w:rPr>
                <w:rStyle w:val="Heading3Char"/>
                <w:rFonts w:ascii="Arial" w:hAnsi="Arial"/>
                <w:b/>
                <w:b/>
                <w:bCs w:val="false"/>
                <w:sz w:val="22"/>
                <w:szCs w:val="22"/>
              </w:rPr>
            </w:pPr>
            <w:bookmarkStart w:id="565" w:name="_Toc49504822"/>
            <w:bookmarkStart w:id="566" w:name="_Toc49591752"/>
            <w:bookmarkStart w:id="567" w:name="_Toc49504271"/>
            <w:bookmarkStart w:id="568" w:name="_Toc49504704"/>
            <w:bookmarkStart w:id="569" w:name="_Toc49569842"/>
            <w:bookmarkStart w:id="570" w:name="_Toc49591404"/>
            <w:bookmarkStart w:id="571" w:name="_Toc421454290"/>
            <w:r>
              <w:rPr>
                <w:rStyle w:val="Heading3Char"/>
                <w:rFonts w:ascii="Arial" w:hAnsi="Arial"/>
                <w:b/>
                <w:bCs w:val="false"/>
                <w:sz w:val="22"/>
                <w:szCs w:val="22"/>
              </w:rPr>
              <w:t>Copyright</w:t>
            </w:r>
            <w:bookmarkEnd w:id="565"/>
            <w:bookmarkEnd w:id="566"/>
            <w:bookmarkEnd w:id="567"/>
            <w:bookmarkEnd w:id="568"/>
            <w:bookmarkEnd w:id="569"/>
            <w:bookmarkEnd w:id="570"/>
            <w:bookmarkEnd w:id="571"/>
          </w:p>
        </w:tc>
        <w:tc>
          <w:tcPr>
            <w:tcW w:w="7559" w:type="dxa"/>
            <w:tcBorders/>
          </w:tcPr>
          <w:p>
            <w:pPr>
              <w:pStyle w:val="SubClauseText"/>
              <w:widowControl w:val="false"/>
              <w:numPr>
                <w:ilvl w:val="0"/>
                <w:numId w:val="120"/>
              </w:numPr>
              <w:spacing w:before="100" w:after="80"/>
              <w:rPr>
                <w:rFonts w:ascii="Arial" w:hAnsi="Arial" w:cs="Arial"/>
                <w:sz w:val="22"/>
                <w:szCs w:val="22"/>
                <w:lang w:val="en-GB"/>
              </w:rPr>
            </w:pPr>
            <w:r>
              <w:rPr>
                <w:rFonts w:cs="Arial" w:ascii="Arial" w:hAnsi="Arial"/>
                <w:sz w:val="22"/>
                <w:szCs w:val="22"/>
                <w:lang w:val="en-GB"/>
              </w:rPr>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trPr/>
        <w:tc>
          <w:tcPr>
            <w:tcW w:w="2052" w:type="dxa"/>
            <w:vMerge w:val="restart"/>
            <w:tcBorders/>
            <w:shd w:color="auto" w:fill="auto" w:val="clear"/>
          </w:tcPr>
          <w:p>
            <w:pPr>
              <w:pStyle w:val="Normal"/>
              <w:widowControl w:val="false"/>
              <w:numPr>
                <w:ilvl w:val="0"/>
                <w:numId w:val="95"/>
              </w:numPr>
              <w:tabs>
                <w:tab w:val="clear" w:pos="720"/>
                <w:tab w:val="left" w:pos="369" w:leader="none"/>
              </w:tabs>
              <w:spacing w:before="100" w:after="80"/>
              <w:ind w:left="414" w:hanging="342"/>
              <w:outlineLvl w:val="2"/>
              <w:rPr>
                <w:rStyle w:val="Heading3Char"/>
                <w:rFonts w:ascii="Arial" w:hAnsi="Arial"/>
                <w:b/>
                <w:b/>
                <w:bCs w:val="false"/>
                <w:sz w:val="22"/>
                <w:szCs w:val="22"/>
              </w:rPr>
            </w:pPr>
            <w:bookmarkStart w:id="572" w:name="_Toc421454291"/>
            <w:bookmarkStart w:id="573" w:name="_Toc49504824"/>
            <w:bookmarkStart w:id="574" w:name="_Toc49591406"/>
            <w:bookmarkStart w:id="575" w:name="_Toc49591754"/>
            <w:bookmarkStart w:id="576" w:name="_Toc49504273"/>
            <w:bookmarkStart w:id="577" w:name="_Toc49569844"/>
            <w:bookmarkStart w:id="578" w:name="_Toc49504706"/>
            <w:r>
              <w:rPr>
                <w:rStyle w:val="Heading3Char"/>
                <w:rFonts w:ascii="Arial" w:hAnsi="Arial"/>
                <w:b/>
                <w:bCs w:val="false"/>
                <w:sz w:val="22"/>
                <w:szCs w:val="22"/>
              </w:rPr>
              <w:t>Sub contracting</w:t>
            </w:r>
            <w:bookmarkEnd w:id="572"/>
            <w:bookmarkEnd w:id="573"/>
            <w:bookmarkEnd w:id="574"/>
            <w:bookmarkEnd w:id="575"/>
            <w:bookmarkEnd w:id="576"/>
            <w:bookmarkEnd w:id="577"/>
            <w:bookmarkEnd w:id="578"/>
          </w:p>
        </w:tc>
        <w:tc>
          <w:tcPr>
            <w:tcW w:w="7559" w:type="dxa"/>
            <w:tcBorders/>
          </w:tcPr>
          <w:p>
            <w:pPr>
              <w:pStyle w:val="SubClauseText"/>
              <w:widowControl w:val="false"/>
              <w:numPr>
                <w:ilvl w:val="0"/>
                <w:numId w:val="121"/>
              </w:numPr>
              <w:spacing w:before="100" w:after="80"/>
              <w:rPr>
                <w:rFonts w:ascii="Arial" w:hAnsi="Arial" w:cs="Arial"/>
                <w:sz w:val="22"/>
                <w:szCs w:val="22"/>
                <w:lang w:val="en-GB"/>
              </w:rPr>
            </w:pPr>
            <w:r>
              <w:rPr>
                <w:rFonts w:cs="Arial" w:ascii="Arial" w:hAnsi="Arial"/>
                <w:sz w:val="22"/>
                <w:szCs w:val="22"/>
                <w:lang w:val="en-GB"/>
              </w:rPr>
              <w:t>Any subcontracting arrangements made during contract implementation and not disclosed at the time of the Tendering shall not be allowed.</w:t>
            </w:r>
          </w:p>
        </w:tc>
      </w:tr>
      <w:tr>
        <w:trPr/>
        <w:tc>
          <w:tcPr>
            <w:tcW w:w="2052" w:type="dxa"/>
            <w:vMerge w:val="continue"/>
            <w:tcBorders/>
            <w:shd w:color="auto" w:fill="auto" w:val="clear"/>
          </w:tcPr>
          <w:p>
            <w:pPr>
              <w:pStyle w:val="Normal"/>
              <w:widowControl w:val="false"/>
              <w:spacing w:before="100" w:after="8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121"/>
              </w:numPr>
              <w:spacing w:before="100" w:after="80"/>
              <w:rPr>
                <w:rFonts w:ascii="Arial" w:hAnsi="Arial" w:cs="Arial"/>
                <w:spacing w:val="-8"/>
                <w:sz w:val="22"/>
                <w:szCs w:val="22"/>
                <w:lang w:val="en-GB"/>
              </w:rPr>
            </w:pPr>
            <w:r>
              <w:rPr>
                <w:rFonts w:cs="Arial" w:ascii="Arial" w:hAnsi="Arial"/>
                <w:spacing w:val="-8"/>
                <w:sz w:val="22"/>
                <w:szCs w:val="22"/>
                <w:lang w:val="en-GB"/>
              </w:rPr>
              <w:t>Subcontracting of any portion of the Goods shall not relieve the Supplier from any liability or obligations that may arise from its performance.</w:t>
            </w:r>
          </w:p>
        </w:tc>
      </w:tr>
      <w:tr>
        <w:trPr/>
        <w:tc>
          <w:tcPr>
            <w:tcW w:w="2052" w:type="dxa"/>
            <w:vMerge w:val="continue"/>
            <w:tcBorders/>
            <w:shd w:color="auto" w:fill="auto" w:val="clear"/>
          </w:tcPr>
          <w:p>
            <w:pPr>
              <w:pStyle w:val="Normal"/>
              <w:widowControl w:val="false"/>
              <w:spacing w:before="100" w:after="8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121"/>
              </w:numPr>
              <w:spacing w:before="100" w:after="80"/>
              <w:rPr>
                <w:rFonts w:ascii="Arial" w:hAnsi="Arial" w:cs="Arial"/>
                <w:spacing w:val="-8"/>
                <w:sz w:val="22"/>
                <w:szCs w:val="22"/>
                <w:lang w:val="en-GB"/>
              </w:rPr>
            </w:pPr>
            <w:r>
              <w:rPr>
                <w:rFonts w:cs="Arial" w:ascii="Arial" w:hAnsi="Arial"/>
                <w:spacing w:val="-8"/>
                <w:sz w:val="22"/>
                <w:szCs w:val="22"/>
                <w:lang w:val="en-GB"/>
              </w:rPr>
              <w:t>Supplier shall retain full responsibility for the contract and can not pass any contractual obligations to the Subcontractor and under no circumstances   assignment of the contract to the Subcontractor be allowed.</w:t>
            </w:r>
          </w:p>
        </w:tc>
      </w:tr>
      <w:tr>
        <w:trPr/>
        <w:tc>
          <w:tcPr>
            <w:tcW w:w="2052" w:type="dxa"/>
            <w:vMerge w:val="continue"/>
            <w:tcBorders/>
            <w:shd w:color="auto" w:fill="auto" w:val="clear"/>
          </w:tcPr>
          <w:p>
            <w:pPr>
              <w:pStyle w:val="Normal"/>
              <w:widowControl w:val="false"/>
              <w:spacing w:before="100" w:after="8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121"/>
              </w:numPr>
              <w:spacing w:before="100" w:after="80"/>
              <w:rPr>
                <w:rFonts w:ascii="Arial" w:hAnsi="Arial" w:cs="Arial"/>
                <w:sz w:val="22"/>
                <w:szCs w:val="22"/>
                <w:lang w:val="en-GB"/>
              </w:rPr>
            </w:pPr>
            <w:r>
              <w:rPr>
                <w:rFonts w:cs="Arial" w:ascii="Arial" w:hAnsi="Arial"/>
                <w:spacing w:val="-8"/>
                <w:sz w:val="22"/>
                <w:szCs w:val="22"/>
                <w:lang w:val="en-GB"/>
              </w:rPr>
              <w:t>Subcontractors shall comply with the provisions of GCC Clause 6 and 10</w:t>
            </w:r>
            <w:r>
              <w:rPr>
                <w:rFonts w:cs="Arial" w:ascii="Arial" w:hAnsi="Arial"/>
                <w:sz w:val="22"/>
                <w:szCs w:val="22"/>
                <w:lang w:val="en-GB"/>
              </w:rPr>
              <w:t>.</w:t>
            </w:r>
          </w:p>
        </w:tc>
      </w:tr>
      <w:tr>
        <w:trPr>
          <w:trHeight w:val="1080" w:hRule="atLeast"/>
        </w:trPr>
        <w:tc>
          <w:tcPr>
            <w:tcW w:w="2052" w:type="dxa"/>
            <w:tcBorders/>
          </w:tcPr>
          <w:p>
            <w:pPr>
              <w:pStyle w:val="Normal"/>
              <w:widowControl w:val="false"/>
              <w:numPr>
                <w:ilvl w:val="0"/>
                <w:numId w:val="95"/>
              </w:numPr>
              <w:tabs>
                <w:tab w:val="clear" w:pos="720"/>
                <w:tab w:val="left" w:pos="369" w:leader="none"/>
              </w:tabs>
              <w:spacing w:before="120" w:after="0"/>
              <w:ind w:left="414" w:hanging="342"/>
              <w:outlineLvl w:val="2"/>
              <w:rPr>
                <w:rStyle w:val="Heading3Char"/>
                <w:rFonts w:ascii="Arial" w:hAnsi="Arial"/>
                <w:b/>
                <w:b/>
                <w:bCs w:val="false"/>
                <w:sz w:val="22"/>
                <w:szCs w:val="22"/>
              </w:rPr>
            </w:pPr>
            <w:bookmarkStart w:id="579" w:name="_Toc49504707"/>
            <w:bookmarkStart w:id="580" w:name="_Toc421454292"/>
            <w:bookmarkStart w:id="581" w:name="_Toc49591755"/>
            <w:bookmarkStart w:id="582" w:name="_Toc49591407"/>
            <w:bookmarkStart w:id="583" w:name="_Toc49504825"/>
            <w:bookmarkStart w:id="584" w:name="_Toc49504274"/>
            <w:bookmarkStart w:id="585" w:name="_Toc49569845"/>
            <w:r>
              <w:rPr>
                <w:rStyle w:val="Heading3Char"/>
                <w:rFonts w:ascii="Arial" w:hAnsi="Arial"/>
                <w:b/>
                <w:bCs w:val="false"/>
                <w:sz w:val="22"/>
                <w:szCs w:val="22"/>
              </w:rPr>
              <w:t>Supplier’s Responsibilities</w:t>
            </w:r>
            <w:bookmarkEnd w:id="579"/>
            <w:bookmarkEnd w:id="580"/>
            <w:bookmarkEnd w:id="581"/>
            <w:bookmarkEnd w:id="582"/>
            <w:bookmarkEnd w:id="583"/>
            <w:bookmarkEnd w:id="584"/>
            <w:bookmarkEnd w:id="585"/>
          </w:p>
        </w:tc>
        <w:tc>
          <w:tcPr>
            <w:tcW w:w="7559" w:type="dxa"/>
            <w:tcBorders/>
          </w:tcPr>
          <w:p>
            <w:pPr>
              <w:pStyle w:val="SubClauseText"/>
              <w:widowControl w:val="false"/>
              <w:numPr>
                <w:ilvl w:val="0"/>
                <w:numId w:val="59"/>
              </w:numPr>
              <w:tabs>
                <w:tab w:val="clear" w:pos="720"/>
                <w:tab w:val="left" w:pos="567" w:leader="none"/>
              </w:tabs>
              <w:spacing w:before="120" w:after="0"/>
              <w:ind w:left="590" w:hanging="576"/>
              <w:rPr>
                <w:rFonts w:ascii="Arial" w:hAnsi="Arial" w:cs="Arial"/>
                <w:sz w:val="22"/>
                <w:szCs w:val="22"/>
                <w:lang w:val="en-GB"/>
              </w:rPr>
            </w:pPr>
            <w:r>
              <w:rPr>
                <w:rFonts w:cs="Arial" w:ascii="Arial" w:hAnsi="Arial"/>
                <w:sz w:val="22"/>
                <w:szCs w:val="22"/>
                <w:lang w:val="en-GB"/>
              </w:rPr>
              <w:t>The Supplier shall supply all the Goods and related services specified in the Scope of Supply as stated under GCC Clause 8 and the Delivery and Completion schedule, as stated under GCC Clauses 21 and 23in conformity with the provisions of the Contract Agreement.</w:t>
            </w:r>
          </w:p>
        </w:tc>
      </w:tr>
      <w:tr>
        <w:trPr/>
        <w:tc>
          <w:tcPr>
            <w:tcW w:w="2052" w:type="dxa"/>
            <w:vMerge w:val="restart"/>
            <w:tcBorders/>
          </w:tcPr>
          <w:p>
            <w:pPr>
              <w:pStyle w:val="Normal"/>
              <w:widowControl w:val="false"/>
              <w:numPr>
                <w:ilvl w:val="0"/>
                <w:numId w:val="95"/>
              </w:numPr>
              <w:tabs>
                <w:tab w:val="clear" w:pos="720"/>
                <w:tab w:val="left" w:pos="369" w:leader="none"/>
              </w:tabs>
              <w:spacing w:before="120" w:after="0"/>
              <w:ind w:left="414" w:hanging="342"/>
              <w:outlineLvl w:val="2"/>
              <w:rPr>
                <w:rStyle w:val="Heading3Char"/>
                <w:rFonts w:ascii="Arial" w:hAnsi="Arial"/>
                <w:b/>
                <w:b/>
                <w:bCs w:val="false"/>
                <w:sz w:val="22"/>
                <w:szCs w:val="22"/>
              </w:rPr>
            </w:pPr>
            <w:bookmarkStart w:id="586" w:name="_Toc49591408"/>
            <w:bookmarkStart w:id="587" w:name="_Toc49569846"/>
            <w:bookmarkStart w:id="588" w:name="_Toc421454293"/>
            <w:bookmarkStart w:id="589" w:name="_Toc49504826"/>
            <w:bookmarkStart w:id="590" w:name="_Toc49504708"/>
            <w:bookmarkStart w:id="591" w:name="_Toc49591756"/>
            <w:bookmarkStart w:id="592" w:name="_Toc49504275"/>
            <w:r>
              <w:rPr>
                <w:rStyle w:val="Heading3Char"/>
                <w:rFonts w:ascii="Arial" w:hAnsi="Arial"/>
                <w:b/>
                <w:bCs w:val="false"/>
                <w:sz w:val="22"/>
                <w:szCs w:val="22"/>
              </w:rPr>
              <w:t>Procuring Entity’s Responsibilities</w:t>
            </w:r>
            <w:bookmarkEnd w:id="586"/>
            <w:bookmarkEnd w:id="587"/>
            <w:bookmarkEnd w:id="588"/>
            <w:bookmarkEnd w:id="589"/>
            <w:bookmarkEnd w:id="590"/>
            <w:bookmarkEnd w:id="591"/>
            <w:bookmarkEnd w:id="592"/>
          </w:p>
        </w:tc>
        <w:tc>
          <w:tcPr>
            <w:tcW w:w="7559" w:type="dxa"/>
            <w:tcBorders/>
          </w:tcPr>
          <w:p>
            <w:pPr>
              <w:pStyle w:val="SubClauseText"/>
              <w:widowControl w:val="false"/>
              <w:numPr>
                <w:ilvl w:val="0"/>
                <w:numId w:val="60"/>
              </w:numPr>
              <w:tabs>
                <w:tab w:val="clear" w:pos="720"/>
                <w:tab w:val="left" w:pos="567" w:leader="none"/>
              </w:tabs>
              <w:spacing w:before="120" w:after="0"/>
              <w:ind w:left="590" w:hanging="576"/>
              <w:rPr>
                <w:rFonts w:ascii="Arial" w:hAnsi="Arial" w:cs="Arial"/>
                <w:sz w:val="22"/>
                <w:szCs w:val="22"/>
                <w:lang w:val="en-GB"/>
              </w:rPr>
            </w:pPr>
            <w:r>
              <w:rPr>
                <w:rFonts w:cs="Arial" w:ascii="Arial" w:hAnsi="Arial"/>
                <w:sz w:val="22"/>
                <w:szCs w:val="22"/>
                <w:lang w:val="en-GB"/>
              </w:rPr>
              <w:t>Whenever the performance of the obligations in this Contract requires that the Supplier obtain permits, approvals and other license from local public authorities, the Procuring Entity may, if so needed by the Supplier, make its best effort to assist the Supplier in complying with such requirements in a timely and expeditious manner</w:t>
            </w:r>
            <w:r>
              <w:rPr>
                <w:sz w:val="22"/>
                <w:szCs w:val="22"/>
              </w:rPr>
              <w:t xml:space="preserve">. </w:t>
            </w:r>
            <w:r>
              <w:rPr>
                <w:rFonts w:cs="Arial" w:ascii="Arial" w:hAnsi="Arial"/>
                <w:sz w:val="22"/>
                <w:szCs w:val="22"/>
                <w:lang w:val="en-GB"/>
              </w:rPr>
              <w:t>However, the supplier shall bear the costs of such permits and/or licenses.</w:t>
            </w:r>
          </w:p>
        </w:tc>
      </w:tr>
      <w:tr>
        <w:trPr/>
        <w:tc>
          <w:tcPr>
            <w:tcW w:w="2052" w:type="dxa"/>
            <w:vMerge w:val="continue"/>
            <w:tcBorders/>
          </w:tcPr>
          <w:p>
            <w:pPr>
              <w:pStyle w:val="Heading4"/>
              <w:widowControl w:val="false"/>
              <w:spacing w:before="120" w:after="0"/>
              <w:ind w:left="252" w:hanging="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60"/>
              </w:numPr>
              <w:tabs>
                <w:tab w:val="clear" w:pos="720"/>
                <w:tab w:val="left" w:pos="549" w:leader="none"/>
              </w:tabs>
              <w:spacing w:before="120" w:after="0"/>
              <w:ind w:left="590" w:hanging="576"/>
              <w:rPr>
                <w:rFonts w:ascii="Arial" w:hAnsi="Arial" w:cs="Arial"/>
                <w:sz w:val="22"/>
                <w:szCs w:val="22"/>
                <w:lang w:val="en-GB"/>
              </w:rPr>
            </w:pPr>
            <w:r>
              <w:rPr>
                <w:rFonts w:cs="Arial" w:ascii="Arial" w:hAnsi="Arial"/>
                <w:sz w:val="22"/>
                <w:szCs w:val="22"/>
                <w:lang w:val="en-GB"/>
              </w:rPr>
              <w:t>The Procuring Entity shall pay the Supplier, in consideration of the provision of Goods and related services, the Contract Price under the provisions of the Contract at the times and manner prescribed in the Contract Agreement.</w:t>
            </w:r>
          </w:p>
        </w:tc>
      </w:tr>
      <w:tr>
        <w:trPr/>
        <w:tc>
          <w:tcPr>
            <w:tcW w:w="2052" w:type="dxa"/>
            <w:vMerge w:val="restart"/>
            <w:tcBorders/>
            <w:shd w:color="auto" w:fill="auto" w:val="clear"/>
          </w:tcPr>
          <w:p>
            <w:pPr>
              <w:pStyle w:val="Normal"/>
              <w:widowControl w:val="false"/>
              <w:numPr>
                <w:ilvl w:val="0"/>
                <w:numId w:val="95"/>
              </w:numPr>
              <w:tabs>
                <w:tab w:val="clear" w:pos="720"/>
                <w:tab w:val="left" w:pos="369" w:leader="none"/>
              </w:tabs>
              <w:spacing w:before="120" w:after="0"/>
              <w:ind w:left="414" w:hanging="342"/>
              <w:outlineLvl w:val="2"/>
              <w:rPr>
                <w:rFonts w:ascii="Arial" w:hAnsi="Arial" w:cs="Arial"/>
                <w:spacing w:val="-20"/>
                <w:sz w:val="22"/>
                <w:szCs w:val="22"/>
                <w:lang w:val="en-GB"/>
              </w:rPr>
            </w:pPr>
            <w:bookmarkStart w:id="593" w:name="_Toc421454294"/>
            <w:bookmarkStart w:id="594" w:name="_Toc338337677"/>
            <w:bookmarkEnd w:id="594"/>
            <w:r>
              <w:rPr>
                <w:rStyle w:val="Heading3Char"/>
                <w:rFonts w:ascii="Arial" w:hAnsi="Arial"/>
                <w:b/>
                <w:bCs w:val="false"/>
                <w:sz w:val="22"/>
                <w:szCs w:val="22"/>
              </w:rPr>
              <w:t>Issue change order, Repeat Orders or Order for Additional Delivery</w:t>
            </w:r>
            <w:bookmarkEnd w:id="593"/>
          </w:p>
        </w:tc>
        <w:tc>
          <w:tcPr>
            <w:tcW w:w="7559" w:type="dxa"/>
            <w:tcBorders/>
          </w:tcPr>
          <w:p>
            <w:pPr>
              <w:pStyle w:val="Footer"/>
              <w:widowControl w:val="false"/>
              <w:numPr>
                <w:ilvl w:val="0"/>
                <w:numId w:val="122"/>
              </w:numPr>
              <w:tabs>
                <w:tab w:val="left" w:pos="612" w:leader="none"/>
                <w:tab w:val="right" w:pos="9504" w:leader="underscore"/>
              </w:tabs>
              <w:spacing w:before="120" w:after="0"/>
              <w:ind w:left="612" w:hanging="540"/>
              <w:jc w:val="both"/>
              <w:rPr>
                <w:rFonts w:ascii="Arial" w:hAnsi="Arial" w:cs="Arial"/>
                <w:sz w:val="22"/>
                <w:szCs w:val="22"/>
              </w:rPr>
            </w:pPr>
            <w:r>
              <w:rPr>
                <w:rFonts w:cs="Arial" w:ascii="Arial" w:hAnsi="Arial"/>
                <w:sz w:val="22"/>
                <w:szCs w:val="22"/>
              </w:rPr>
              <w:t>The Procuring Entity may at any time order the Supplier through notice in accordance with GCC Clause 3, to make changes within the general scope of the Contract in any one or more of the following:</w:t>
            </w:r>
          </w:p>
          <w:p>
            <w:pPr>
              <w:pStyle w:val="Header3Paragraph"/>
              <w:widowControl w:val="false"/>
              <w:numPr>
                <w:ilvl w:val="2"/>
                <w:numId w:val="95"/>
              </w:numPr>
              <w:tabs>
                <w:tab w:val="clear" w:pos="720"/>
                <w:tab w:val="left" w:pos="1152" w:leader="none"/>
                <w:tab w:val="left" w:pos="1215" w:leader="none"/>
              </w:tabs>
              <w:spacing w:before="120" w:after="0"/>
              <w:ind w:left="1215" w:hanging="360"/>
              <w:rPr>
                <w:rFonts w:ascii="Arial" w:hAnsi="Arial" w:cs="Arial"/>
                <w:sz w:val="22"/>
                <w:szCs w:val="22"/>
              </w:rPr>
            </w:pPr>
            <w:r>
              <w:rPr>
                <w:rFonts w:cs="Arial" w:ascii="Arial" w:hAnsi="Arial"/>
                <w:sz w:val="22"/>
                <w:szCs w:val="22"/>
              </w:rPr>
              <w:t>drawings, designs, or specifications, where goods to be delivered under the Contract are to be specifically manufactured for the Procuring Entity;</w:t>
            </w:r>
          </w:p>
          <w:p>
            <w:pPr>
              <w:pStyle w:val="Header3Paragraph"/>
              <w:widowControl w:val="false"/>
              <w:numPr>
                <w:ilvl w:val="2"/>
                <w:numId w:val="95"/>
              </w:numPr>
              <w:tabs>
                <w:tab w:val="clear" w:pos="720"/>
                <w:tab w:val="left" w:pos="612" w:leader="none"/>
                <w:tab w:val="left" w:pos="1152" w:leader="none"/>
                <w:tab w:val="left" w:pos="1215" w:leader="none"/>
              </w:tabs>
              <w:spacing w:before="120" w:after="0"/>
              <w:ind w:left="2340" w:hanging="1485"/>
              <w:rPr>
                <w:rFonts w:ascii="Arial" w:hAnsi="Arial" w:cs="Arial"/>
                <w:sz w:val="22"/>
                <w:szCs w:val="22"/>
              </w:rPr>
            </w:pPr>
            <w:r>
              <w:rPr>
                <w:rFonts w:cs="Arial" w:ascii="Arial" w:hAnsi="Arial"/>
                <w:sz w:val="22"/>
                <w:szCs w:val="22"/>
              </w:rPr>
              <w:t>the method of packing;</w:t>
            </w:r>
          </w:p>
          <w:p>
            <w:pPr>
              <w:pStyle w:val="Header3Paragraph"/>
              <w:widowControl w:val="false"/>
              <w:numPr>
                <w:ilvl w:val="2"/>
                <w:numId w:val="95"/>
              </w:numPr>
              <w:tabs>
                <w:tab w:val="clear" w:pos="720"/>
                <w:tab w:val="left" w:pos="1152" w:leader="none"/>
                <w:tab w:val="left" w:pos="1215" w:leader="none"/>
              </w:tabs>
              <w:spacing w:before="120" w:after="0"/>
              <w:ind w:left="2340" w:hanging="1485"/>
              <w:rPr>
                <w:rFonts w:ascii="Arial" w:hAnsi="Arial" w:cs="Arial"/>
                <w:sz w:val="22"/>
                <w:szCs w:val="22"/>
              </w:rPr>
            </w:pPr>
            <w:r>
              <w:rPr>
                <w:rFonts w:cs="Arial" w:ascii="Arial" w:hAnsi="Arial"/>
                <w:sz w:val="22"/>
                <w:szCs w:val="22"/>
              </w:rPr>
              <w:t>the place(s) of delivery of goods and related services; and</w:t>
            </w:r>
          </w:p>
          <w:p>
            <w:pPr>
              <w:pStyle w:val="SubClauseText"/>
              <w:widowControl w:val="false"/>
              <w:numPr>
                <w:ilvl w:val="2"/>
                <w:numId w:val="95"/>
              </w:numPr>
              <w:tabs>
                <w:tab w:val="clear" w:pos="720"/>
                <w:tab w:val="left" w:pos="1215" w:leader="none"/>
              </w:tabs>
              <w:spacing w:before="120" w:after="0"/>
              <w:ind w:left="2340" w:hanging="1485"/>
              <w:rPr>
                <w:rFonts w:ascii="Arial" w:hAnsi="Arial" w:cs="Arial"/>
                <w:sz w:val="22"/>
                <w:szCs w:val="22"/>
                <w:lang w:val="en-GB"/>
              </w:rPr>
            </w:pPr>
            <w:r>
              <w:rPr>
                <w:rFonts w:cs="Arial" w:ascii="Arial" w:hAnsi="Arial"/>
                <w:sz w:val="22"/>
                <w:szCs w:val="22"/>
              </w:rPr>
              <w:t>the related services to be provided by the Supplier.</w:t>
            </w:r>
          </w:p>
        </w:tc>
      </w:tr>
      <w:tr>
        <w:trPr/>
        <w:tc>
          <w:tcPr>
            <w:tcW w:w="2052" w:type="dxa"/>
            <w:vMerge w:val="continue"/>
            <w:tcBorders/>
            <w:shd w:color="auto" w:fill="auto" w:val="clear"/>
          </w:tcPr>
          <w:p>
            <w:pPr>
              <w:pStyle w:val="Normal"/>
              <w:widowControl w:val="false"/>
              <w:numPr>
                <w:ilvl w:val="0"/>
                <w:numId w:val="95"/>
              </w:numPr>
              <w:tabs>
                <w:tab w:val="clear" w:pos="720"/>
                <w:tab w:val="left" w:pos="369" w:leader="none"/>
              </w:tabs>
              <w:spacing w:before="120" w:after="0"/>
              <w:ind w:left="414" w:hanging="342"/>
              <w:outlineLvl w:val="2"/>
              <w:rPr>
                <w:rStyle w:val="Heading3Char"/>
                <w:rFonts w:ascii="Arial" w:hAnsi="Arial"/>
                <w:b/>
                <w:b/>
                <w:bCs w:val="false"/>
                <w:sz w:val="22"/>
                <w:szCs w:val="22"/>
              </w:rPr>
            </w:pPr>
            <w:r>
              <w:rPr>
                <w:rFonts w:ascii="Arial" w:hAnsi="Arial"/>
                <w:b/>
                <w:bCs w:val="false"/>
                <w:sz w:val="22"/>
                <w:szCs w:val="22"/>
              </w:rPr>
            </w:r>
            <w:bookmarkStart w:id="595" w:name="_Toc421454295"/>
            <w:bookmarkStart w:id="596" w:name="_Toc338337681"/>
            <w:bookmarkStart w:id="597" w:name="_Toc421014812"/>
            <w:bookmarkStart w:id="598" w:name="_Toc421454295"/>
            <w:bookmarkStart w:id="599" w:name="_Toc338337681"/>
            <w:bookmarkStart w:id="600" w:name="_Toc421014812"/>
            <w:bookmarkEnd w:id="598"/>
            <w:bookmarkEnd w:id="599"/>
            <w:bookmarkEnd w:id="600"/>
          </w:p>
        </w:tc>
        <w:tc>
          <w:tcPr>
            <w:tcW w:w="7559" w:type="dxa"/>
            <w:tcBorders/>
          </w:tcPr>
          <w:p>
            <w:pPr>
              <w:pStyle w:val="Footer"/>
              <w:widowControl w:val="false"/>
              <w:numPr>
                <w:ilvl w:val="0"/>
                <w:numId w:val="122"/>
              </w:numPr>
              <w:tabs>
                <w:tab w:val="left" w:pos="612" w:leader="none"/>
                <w:tab w:val="right" w:pos="9504" w:leader="underscore"/>
              </w:tabs>
              <w:spacing w:before="120" w:after="0"/>
              <w:ind w:left="612" w:hanging="612"/>
              <w:jc w:val="both"/>
              <w:rPr>
                <w:rFonts w:ascii="Arial" w:hAnsi="Arial" w:cs="Arial"/>
                <w:sz w:val="22"/>
                <w:szCs w:val="22"/>
              </w:rPr>
            </w:pPr>
            <w:r>
              <w:rPr>
                <w:rFonts w:cs="Arial" w:ascii="Arial" w:hAnsi="Arial"/>
                <w:sz w:val="22"/>
                <w:szCs w:val="22"/>
              </w:rPr>
              <w:t>The Procuring Entity may, in exceptional circumstances, issue Repeat Order or additional delivery where the items   already been procured through competitive method  of an additional quantity within warranty period provided that prices are still the most advantageous to the Procuring Entity after price verification.</w:t>
            </w:r>
          </w:p>
        </w:tc>
      </w:tr>
      <w:tr>
        <w:trPr>
          <w:trHeight w:val="1125" w:hRule="atLeast"/>
        </w:trPr>
        <w:tc>
          <w:tcPr>
            <w:tcW w:w="2052" w:type="dxa"/>
            <w:vMerge w:val="continue"/>
            <w:tcBorders/>
            <w:shd w:color="auto" w:fill="auto" w:val="clear"/>
          </w:tcPr>
          <w:p>
            <w:pPr>
              <w:pStyle w:val="Normal"/>
              <w:widowControl w:val="false"/>
              <w:numPr>
                <w:ilvl w:val="0"/>
                <w:numId w:val="95"/>
              </w:numPr>
              <w:tabs>
                <w:tab w:val="clear" w:pos="720"/>
                <w:tab w:val="left" w:pos="369" w:leader="none"/>
              </w:tabs>
              <w:spacing w:before="120" w:after="0"/>
              <w:ind w:left="414" w:hanging="342"/>
              <w:outlineLvl w:val="2"/>
              <w:rPr>
                <w:rStyle w:val="Heading3Char"/>
                <w:rFonts w:ascii="Arial" w:hAnsi="Arial"/>
                <w:b/>
                <w:b/>
                <w:bCs w:val="false"/>
                <w:sz w:val="22"/>
                <w:szCs w:val="22"/>
              </w:rPr>
            </w:pPr>
            <w:r>
              <w:rPr>
                <w:rFonts w:ascii="Arial" w:hAnsi="Arial"/>
                <w:b/>
                <w:bCs w:val="false"/>
                <w:sz w:val="22"/>
                <w:szCs w:val="22"/>
              </w:rPr>
            </w:r>
            <w:bookmarkStart w:id="601" w:name="_Toc338337682"/>
            <w:bookmarkStart w:id="602" w:name="_Toc338337683"/>
            <w:bookmarkStart w:id="603" w:name="_Toc421014813"/>
            <w:bookmarkStart w:id="604" w:name="_Toc421454296"/>
            <w:bookmarkStart w:id="605" w:name="_Toc338337682"/>
            <w:bookmarkStart w:id="606" w:name="_Toc338337683"/>
            <w:bookmarkStart w:id="607" w:name="_Toc421014813"/>
            <w:bookmarkStart w:id="608" w:name="_Toc421454296"/>
            <w:bookmarkEnd w:id="605"/>
            <w:bookmarkEnd w:id="606"/>
            <w:bookmarkEnd w:id="607"/>
            <w:bookmarkEnd w:id="608"/>
          </w:p>
        </w:tc>
        <w:tc>
          <w:tcPr>
            <w:tcW w:w="7559" w:type="dxa"/>
            <w:tcBorders/>
          </w:tcPr>
          <w:p>
            <w:pPr>
              <w:pStyle w:val="Footer"/>
              <w:widowControl w:val="false"/>
              <w:numPr>
                <w:ilvl w:val="0"/>
                <w:numId w:val="122"/>
              </w:numPr>
              <w:tabs>
                <w:tab w:val="left" w:pos="612" w:leader="none"/>
                <w:tab w:val="right" w:pos="9504" w:leader="underscore"/>
              </w:tabs>
              <w:spacing w:before="120" w:after="0"/>
              <w:ind w:left="612" w:hanging="612"/>
              <w:jc w:val="both"/>
              <w:rPr>
                <w:rFonts w:ascii="Arial" w:hAnsi="Arial" w:cs="Arial"/>
                <w:sz w:val="22"/>
                <w:szCs w:val="22"/>
              </w:rPr>
            </w:pPr>
            <w:r>
              <w:rPr>
                <w:rFonts w:cs="Arial" w:ascii="Arial" w:hAnsi="Arial"/>
                <w:sz w:val="22"/>
                <w:szCs w:val="22"/>
              </w:rPr>
              <w:t xml:space="preserve">The Supplier shall, under no circumstances, proceed to commence the delivery of Goods and related services under GCC Sub Clause 18.1 and 18.2 unless it has been approved by the </w:t>
            </w:r>
            <w:r>
              <w:rPr>
                <w:rFonts w:cs="Arial" w:ascii="Arial" w:hAnsi="Arial"/>
                <w:b/>
                <w:sz w:val="22"/>
                <w:szCs w:val="22"/>
              </w:rPr>
              <w:t xml:space="preserve">Approving Authority </w:t>
            </w:r>
            <w:r>
              <w:rPr>
                <w:rFonts w:cs="Arial" w:ascii="Arial" w:hAnsi="Arial"/>
                <w:sz w:val="22"/>
                <w:szCs w:val="22"/>
              </w:rPr>
              <w:t>or authority next higher, as appropriate.</w:t>
            </w:r>
          </w:p>
        </w:tc>
      </w:tr>
      <w:tr>
        <w:trPr>
          <w:trHeight w:val="1512" w:hRule="atLeast"/>
        </w:trPr>
        <w:tc>
          <w:tcPr>
            <w:tcW w:w="2052" w:type="dxa"/>
            <w:tcBorders/>
            <w:shd w:color="auto" w:fill="auto" w:val="clear"/>
          </w:tcPr>
          <w:p>
            <w:pPr>
              <w:pStyle w:val="Normal"/>
              <w:widowControl w:val="false"/>
              <w:numPr>
                <w:ilvl w:val="0"/>
                <w:numId w:val="95"/>
              </w:numPr>
              <w:tabs>
                <w:tab w:val="clear" w:pos="720"/>
                <w:tab w:val="left" w:pos="369" w:leader="none"/>
              </w:tabs>
              <w:spacing w:before="120" w:after="0"/>
              <w:ind w:left="414" w:right="-108" w:hanging="360"/>
              <w:outlineLvl w:val="2"/>
              <w:rPr>
                <w:rStyle w:val="Heading3Char"/>
                <w:rFonts w:ascii="Arial" w:hAnsi="Arial"/>
                <w:b/>
                <w:b/>
                <w:bCs w:val="false"/>
                <w:sz w:val="22"/>
                <w:szCs w:val="22"/>
              </w:rPr>
            </w:pPr>
            <w:bookmarkStart w:id="609" w:name="_Toc421454297"/>
            <w:r>
              <w:rPr>
                <w:rStyle w:val="Heading3Char"/>
                <w:rFonts w:ascii="Arial" w:hAnsi="Arial"/>
                <w:b/>
                <w:bCs w:val="false"/>
                <w:sz w:val="22"/>
                <w:szCs w:val="22"/>
              </w:rPr>
              <w:t>Repeat Orders or Order for Additional Delivery</w:t>
            </w:r>
            <w:bookmarkEnd w:id="609"/>
          </w:p>
        </w:tc>
        <w:tc>
          <w:tcPr>
            <w:tcW w:w="7559" w:type="dxa"/>
            <w:tcBorders/>
          </w:tcPr>
          <w:p>
            <w:pPr>
              <w:pStyle w:val="SubClauseText"/>
              <w:widowControl w:val="false"/>
              <w:spacing w:before="120" w:after="0"/>
              <w:ind w:left="522" w:hanging="522"/>
              <w:rPr>
                <w:rFonts w:ascii="Arial" w:hAnsi="Arial" w:cs="Arial"/>
                <w:sz w:val="21"/>
                <w:szCs w:val="21"/>
                <w:lang w:val="en-GB"/>
              </w:rPr>
            </w:pPr>
            <w:r>
              <w:rPr>
                <w:rFonts w:cs="Arial" w:ascii="Arial" w:hAnsi="Arial"/>
                <w:sz w:val="22"/>
                <w:szCs w:val="22"/>
              </w:rPr>
              <w:t>19.1 If any change under GCC Sub Clause 18.1causes an increase or decrease in the cost of, or the time required for, the Supplier’s performance of any provisions under the Contract, an equitable adjustment shall be made in the Contract Price or in the Delivery and Completion Schedule, or both, as applicable.</w:t>
            </w:r>
          </w:p>
        </w:tc>
      </w:tr>
      <w:tr>
        <w:trPr/>
        <w:tc>
          <w:tcPr>
            <w:tcW w:w="2052" w:type="dxa"/>
            <w:vMerge w:val="restart"/>
            <w:tcBorders/>
          </w:tcPr>
          <w:p>
            <w:pPr>
              <w:pStyle w:val="Normal"/>
              <w:widowControl w:val="false"/>
              <w:numPr>
                <w:ilvl w:val="0"/>
                <w:numId w:val="95"/>
              </w:numPr>
              <w:tabs>
                <w:tab w:val="clear" w:pos="720"/>
                <w:tab w:val="left" w:pos="369" w:leader="none"/>
              </w:tabs>
              <w:spacing w:before="120" w:after="0"/>
              <w:ind w:left="414" w:hanging="342"/>
              <w:outlineLvl w:val="2"/>
              <w:rPr>
                <w:rStyle w:val="Heading3Char"/>
                <w:rFonts w:ascii="Arial" w:hAnsi="Arial"/>
                <w:b/>
                <w:b/>
                <w:bCs w:val="false"/>
                <w:sz w:val="22"/>
                <w:szCs w:val="22"/>
              </w:rPr>
            </w:pPr>
            <w:bookmarkStart w:id="610" w:name="_Toc49504829"/>
            <w:bookmarkStart w:id="611" w:name="_Toc49591411"/>
            <w:bookmarkStart w:id="612" w:name="_Toc49504278"/>
            <w:bookmarkStart w:id="613" w:name="_Toc49569849"/>
            <w:bookmarkStart w:id="614" w:name="_Toc421454298"/>
            <w:bookmarkStart w:id="615" w:name="_Toc49591759"/>
            <w:bookmarkStart w:id="616" w:name="_Toc49504711"/>
            <w:r>
              <w:rPr>
                <w:rStyle w:val="Heading3Char"/>
                <w:rFonts w:ascii="Arial" w:hAnsi="Arial"/>
                <w:b/>
                <w:bCs w:val="false"/>
                <w:sz w:val="22"/>
                <w:szCs w:val="22"/>
              </w:rPr>
              <w:t>Packing and Documents</w:t>
            </w:r>
            <w:bookmarkEnd w:id="610"/>
            <w:bookmarkEnd w:id="611"/>
            <w:bookmarkEnd w:id="612"/>
            <w:bookmarkEnd w:id="613"/>
            <w:bookmarkEnd w:id="614"/>
            <w:bookmarkEnd w:id="615"/>
            <w:bookmarkEnd w:id="616"/>
          </w:p>
        </w:tc>
        <w:tc>
          <w:tcPr>
            <w:tcW w:w="7559" w:type="dxa"/>
            <w:tcBorders/>
          </w:tcPr>
          <w:p>
            <w:pPr>
              <w:pStyle w:val="SubClauseText"/>
              <w:widowControl w:val="false"/>
              <w:numPr>
                <w:ilvl w:val="0"/>
                <w:numId w:val="123"/>
              </w:numPr>
              <w:tabs>
                <w:tab w:val="clear" w:pos="720"/>
                <w:tab w:val="left" w:pos="612" w:leader="none"/>
              </w:tabs>
              <w:spacing w:before="120" w:after="0"/>
              <w:ind w:left="619" w:hanging="612"/>
              <w:rPr>
                <w:rFonts w:ascii="Arial" w:hAnsi="Arial" w:cs="Arial"/>
                <w:sz w:val="22"/>
                <w:szCs w:val="22"/>
                <w:lang w:val="en-GB"/>
              </w:rPr>
            </w:pPr>
            <w:r>
              <w:rPr>
                <w:rFonts w:cs="Arial" w:ascii="Arial" w:hAnsi="Arial"/>
                <w:sz w:val="22"/>
                <w:szCs w:val="22"/>
                <w:lang w:val="en-GB"/>
              </w:rPr>
              <w:t>The Supplier shall provide such packing of the goods as is required to prevent their damage or deterioration during transit to their final destination, as indicated in the Contract and in accordance with existing industry standards.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tc>
      </w:tr>
      <w:tr>
        <w:trPr/>
        <w:tc>
          <w:tcPr>
            <w:tcW w:w="2052" w:type="dxa"/>
            <w:vMerge w:val="continue"/>
            <w:tcBorders/>
          </w:tcPr>
          <w:p>
            <w:pPr>
              <w:pStyle w:val="Normal"/>
              <w:widowControl w:val="false"/>
              <w:spacing w:before="120" w:after="4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123"/>
              </w:numPr>
              <w:tabs>
                <w:tab w:val="clear" w:pos="720"/>
                <w:tab w:val="left" w:pos="612" w:leader="none"/>
              </w:tabs>
              <w:spacing w:before="120" w:after="40"/>
              <w:ind w:left="619" w:hanging="612"/>
              <w:rPr>
                <w:rFonts w:ascii="Arial" w:hAnsi="Arial" w:cs="Arial"/>
                <w:sz w:val="22"/>
                <w:szCs w:val="22"/>
                <w:lang w:val="en-GB"/>
              </w:rPr>
            </w:pPr>
            <w:r>
              <w:rPr>
                <w:rFonts w:cs="Arial" w:ascii="Arial" w:hAnsi="Arial"/>
                <w:sz w:val="22"/>
                <w:szCs w:val="22"/>
                <w:lang w:val="en-GB"/>
              </w:rPr>
              <w:t xml:space="preserve">The packing, marking, and documentation within and outside the packages shall comply strictly with such special requirements as shall be expressly provided for in the Contract as stated under GCC Sub Clause 20.1, including additional requirements, if any, specified in the </w:t>
            </w:r>
            <w:r>
              <w:rPr>
                <w:rFonts w:cs="Arial" w:ascii="Arial" w:hAnsi="Arial"/>
                <w:b/>
                <w:sz w:val="22"/>
                <w:szCs w:val="22"/>
                <w:lang w:val="en-GB"/>
              </w:rPr>
              <w:t>PCC</w:t>
            </w:r>
            <w:r>
              <w:rPr>
                <w:rFonts w:cs="Arial" w:ascii="Arial" w:hAnsi="Arial"/>
                <w:sz w:val="22"/>
                <w:szCs w:val="22"/>
                <w:lang w:val="en-GB"/>
              </w:rPr>
              <w:t>, and in any subsequent instructions ordered by the Procuring Entity.</w:t>
            </w:r>
          </w:p>
        </w:tc>
      </w:tr>
      <w:tr>
        <w:trPr>
          <w:trHeight w:val="603" w:hRule="atLeast"/>
        </w:trPr>
        <w:tc>
          <w:tcPr>
            <w:tcW w:w="2052" w:type="dxa"/>
            <w:vMerge w:val="continue"/>
            <w:tcBorders/>
          </w:tcPr>
          <w:p>
            <w:pPr>
              <w:pStyle w:val="Normal"/>
              <w:widowControl w:val="false"/>
              <w:spacing w:before="120" w:after="4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123"/>
              </w:numPr>
              <w:tabs>
                <w:tab w:val="clear" w:pos="720"/>
                <w:tab w:val="left" w:pos="612" w:leader="none"/>
              </w:tabs>
              <w:spacing w:before="120" w:after="40"/>
              <w:ind w:left="619" w:hanging="540"/>
              <w:rPr>
                <w:rFonts w:ascii="Arial" w:hAnsi="Arial" w:cs="Arial"/>
                <w:sz w:val="22"/>
                <w:szCs w:val="22"/>
                <w:lang w:val="en-GB"/>
              </w:rPr>
            </w:pPr>
            <w:r>
              <w:rPr>
                <w:rFonts w:cs="Arial" w:ascii="Arial" w:hAnsi="Arial"/>
                <w:sz w:val="22"/>
                <w:szCs w:val="22"/>
                <w:lang w:val="en-GB"/>
              </w:rPr>
              <w:t>The outer packaging must contain a “Packing List” which must reflect the actual contents of the package.</w:t>
            </w:r>
          </w:p>
        </w:tc>
      </w:tr>
      <w:tr>
        <w:trPr/>
        <w:tc>
          <w:tcPr>
            <w:tcW w:w="2052" w:type="dxa"/>
            <w:tcBorders/>
            <w:shd w:color="auto" w:fill="auto" w:val="clear"/>
          </w:tcPr>
          <w:p>
            <w:pPr>
              <w:pStyle w:val="Normal"/>
              <w:widowControl w:val="false"/>
              <w:numPr>
                <w:ilvl w:val="0"/>
                <w:numId w:val="95"/>
              </w:numPr>
              <w:tabs>
                <w:tab w:val="clear" w:pos="720"/>
                <w:tab w:val="left" w:pos="369" w:leader="none"/>
              </w:tabs>
              <w:spacing w:before="120" w:after="40"/>
              <w:ind w:left="414" w:hanging="342"/>
              <w:outlineLvl w:val="2"/>
              <w:rPr>
                <w:rStyle w:val="Heading3Char"/>
                <w:rFonts w:ascii="Arial" w:hAnsi="Arial"/>
                <w:b/>
                <w:b/>
                <w:bCs w:val="false"/>
                <w:sz w:val="22"/>
                <w:szCs w:val="22"/>
              </w:rPr>
            </w:pPr>
            <w:bookmarkStart w:id="617" w:name="_Toc49504830"/>
            <w:bookmarkStart w:id="618" w:name="_Toc49591760"/>
            <w:bookmarkStart w:id="619" w:name="_Toc49591412"/>
            <w:bookmarkStart w:id="620" w:name="_Toc49569850"/>
            <w:bookmarkStart w:id="621" w:name="_Toc49504712"/>
            <w:bookmarkStart w:id="622" w:name="_Toc37234121"/>
            <w:bookmarkStart w:id="623" w:name="_Toc35418451"/>
            <w:bookmarkStart w:id="624" w:name="_Toc421454299"/>
            <w:bookmarkStart w:id="625" w:name="_Toc49504279"/>
            <w:r>
              <w:rPr>
                <w:rStyle w:val="Heading3Char"/>
                <w:rFonts w:ascii="Arial" w:hAnsi="Arial"/>
                <w:b/>
                <w:bCs w:val="false"/>
                <w:sz w:val="22"/>
                <w:szCs w:val="22"/>
              </w:rPr>
              <w:t>Delivery and Documents</w:t>
            </w:r>
            <w:bookmarkEnd w:id="617"/>
            <w:bookmarkEnd w:id="618"/>
            <w:bookmarkEnd w:id="619"/>
            <w:bookmarkEnd w:id="620"/>
            <w:bookmarkEnd w:id="621"/>
            <w:bookmarkEnd w:id="622"/>
            <w:bookmarkEnd w:id="623"/>
            <w:bookmarkEnd w:id="624"/>
            <w:bookmarkEnd w:id="625"/>
          </w:p>
        </w:tc>
        <w:tc>
          <w:tcPr>
            <w:tcW w:w="7559" w:type="dxa"/>
            <w:tcBorders/>
          </w:tcPr>
          <w:p>
            <w:pPr>
              <w:pStyle w:val="SubClauseText"/>
              <w:widowControl w:val="false"/>
              <w:numPr>
                <w:ilvl w:val="0"/>
                <w:numId w:val="124"/>
              </w:numPr>
              <w:tabs>
                <w:tab w:val="clear" w:pos="720"/>
                <w:tab w:val="left" w:pos="612" w:leader="none"/>
              </w:tabs>
              <w:spacing w:before="120" w:after="40"/>
              <w:ind w:left="619" w:hanging="540"/>
              <w:rPr>
                <w:rFonts w:ascii="Arial" w:hAnsi="Arial" w:cs="Arial"/>
                <w:sz w:val="22"/>
                <w:szCs w:val="22"/>
                <w:lang w:val="en-GB"/>
              </w:rPr>
            </w:pPr>
            <w:r>
              <w:rPr>
                <w:rFonts w:cs="Arial" w:ascii="Arial" w:hAnsi="Arial"/>
                <w:sz w:val="22"/>
                <w:szCs w:val="22"/>
                <w:lang w:val="en-GB"/>
              </w:rPr>
              <w:t xml:space="preserve">Subject to GCC Clause 18, the delivery of the Goods and completion of the related services shall be in accordance with the Delivery and Completion Schedule specified in the Section 6: Schedule of Requirements. The documents to be furnished by the Supplier shall be specified in the </w:t>
            </w:r>
            <w:r>
              <w:rPr>
                <w:rFonts w:cs="Arial" w:ascii="Arial" w:hAnsi="Arial"/>
                <w:b/>
                <w:sz w:val="22"/>
                <w:szCs w:val="22"/>
                <w:lang w:val="en-GB"/>
              </w:rPr>
              <w:t>PCC.</w:t>
            </w:r>
          </w:p>
        </w:tc>
      </w:tr>
      <w:tr>
        <w:trPr/>
        <w:tc>
          <w:tcPr>
            <w:tcW w:w="2052" w:type="dxa"/>
            <w:vMerge w:val="restart"/>
            <w:tcBorders/>
            <w:shd w:color="auto" w:fill="auto" w:val="clear"/>
          </w:tcPr>
          <w:p>
            <w:pPr>
              <w:pStyle w:val="Normal"/>
              <w:widowControl w:val="false"/>
              <w:numPr>
                <w:ilvl w:val="0"/>
                <w:numId w:val="95"/>
              </w:numPr>
              <w:tabs>
                <w:tab w:val="clear" w:pos="720"/>
                <w:tab w:val="left" w:pos="369" w:leader="none"/>
              </w:tabs>
              <w:spacing w:before="120" w:after="40"/>
              <w:ind w:left="414" w:hanging="342"/>
              <w:outlineLvl w:val="2"/>
              <w:rPr>
                <w:rStyle w:val="Heading3Char"/>
                <w:rFonts w:ascii="Arial" w:hAnsi="Arial"/>
                <w:b/>
                <w:b/>
                <w:bCs w:val="false"/>
                <w:sz w:val="22"/>
                <w:szCs w:val="22"/>
              </w:rPr>
            </w:pPr>
            <w:bookmarkStart w:id="626" w:name="_Toc421454300"/>
            <w:r>
              <w:rPr>
                <w:rStyle w:val="Heading3Char"/>
                <w:rFonts w:ascii="Arial" w:hAnsi="Arial"/>
                <w:b/>
                <w:bCs w:val="false"/>
                <w:sz w:val="22"/>
                <w:szCs w:val="22"/>
              </w:rPr>
              <w:t>Acceptance</w:t>
            </w:r>
            <w:bookmarkEnd w:id="626"/>
          </w:p>
        </w:tc>
        <w:tc>
          <w:tcPr>
            <w:tcW w:w="7559" w:type="dxa"/>
            <w:tcBorders/>
          </w:tcPr>
          <w:p>
            <w:pPr>
              <w:pStyle w:val="SubClauseText"/>
              <w:widowControl w:val="false"/>
              <w:numPr>
                <w:ilvl w:val="0"/>
                <w:numId w:val="125"/>
              </w:numPr>
              <w:tabs>
                <w:tab w:val="clear" w:pos="720"/>
                <w:tab w:val="left" w:pos="612" w:leader="none"/>
              </w:tabs>
              <w:spacing w:before="120" w:after="40"/>
              <w:ind w:left="612" w:hanging="612"/>
              <w:rPr>
                <w:rFonts w:ascii="Arial" w:hAnsi="Arial" w:cs="Arial"/>
                <w:sz w:val="22"/>
                <w:szCs w:val="22"/>
                <w:lang w:val="en-GB"/>
              </w:rPr>
            </w:pPr>
            <w:r>
              <w:rPr>
                <w:rFonts w:cs="Arial" w:ascii="Arial" w:hAnsi="Arial"/>
                <w:sz w:val="22"/>
                <w:szCs w:val="22"/>
                <w:lang w:val="en-GB"/>
              </w:rPr>
              <w:t>Acceptance by the Procuring Entity shall be processed not later than fourteen (14) working days from receipt of the goods at final destination in the form of an Acceptance Certificate, unless any defects in the supply, any damage during transportation or any failure to meet the required performance criteria of the supply are identified and reported to the Supplier as stated under GCC Clause 29 and 30. In such cases the Acceptance Certificate will be issued only for those parts of the contract supplies which are accepted. The Acceptance Certificate for the remaining supplies will only be issued after the Supplier has remedied the defects and/or any non-conformity under GCC Clause 29 and GCC Clause 30.</w:t>
            </w:r>
          </w:p>
        </w:tc>
      </w:tr>
      <w:tr>
        <w:trPr/>
        <w:tc>
          <w:tcPr>
            <w:tcW w:w="2052" w:type="dxa"/>
            <w:vMerge w:val="continue"/>
            <w:tcBorders/>
            <w:shd w:color="auto" w:fill="auto" w:val="clear"/>
          </w:tcPr>
          <w:p>
            <w:pPr>
              <w:pStyle w:val="Heading4"/>
              <w:widowControl w:val="false"/>
              <w:spacing w:before="120" w:after="40"/>
              <w:ind w:left="252" w:hanging="0"/>
              <w:jc w:val="both"/>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125"/>
              </w:numPr>
              <w:tabs>
                <w:tab w:val="clear" w:pos="720"/>
                <w:tab w:val="left" w:pos="612" w:leader="none"/>
              </w:tabs>
              <w:spacing w:before="120" w:after="40"/>
              <w:ind w:left="612" w:hanging="612"/>
              <w:rPr>
                <w:rFonts w:ascii="Arial" w:hAnsi="Arial" w:cs="Arial"/>
                <w:color w:val="0000FF"/>
                <w:sz w:val="22"/>
                <w:szCs w:val="22"/>
                <w:lang w:val="en-GB"/>
              </w:rPr>
            </w:pPr>
            <w:r>
              <w:rPr>
                <w:rFonts w:cs="Arial" w:ascii="Arial" w:hAnsi="Arial"/>
                <w:sz w:val="22"/>
                <w:szCs w:val="22"/>
                <w:lang w:val="en-GB"/>
              </w:rPr>
              <w:t xml:space="preserve">Technical Inspection and Acceptance Committee (TIAC), if considered appropriate and constituted by the Procuring Entity shall commence the inspection and acceptance process within twenty-four(24) hours from delivery of the goods, </w:t>
            </w:r>
            <w:r>
              <w:rPr>
                <w:rFonts w:cs="Arial" w:ascii="Arial" w:hAnsi="Arial"/>
                <w:sz w:val="22"/>
                <w:szCs w:val="22"/>
                <w:highlight w:val="yellow"/>
                <w:lang w:val="en-GB"/>
              </w:rPr>
              <w:t xml:space="preserve">and </w:t>
            </w:r>
            <w:r>
              <w:rPr>
                <w:rFonts w:cs="Arial" w:ascii="Arial" w:hAnsi="Arial"/>
                <w:sz w:val="22"/>
                <w:szCs w:val="22"/>
                <w:lang w:val="en-GB"/>
              </w:rPr>
              <w:t xml:space="preserve"> complete the same as soon as practicable.</w:t>
            </w:r>
          </w:p>
        </w:tc>
      </w:tr>
      <w:tr>
        <w:trPr/>
        <w:tc>
          <w:tcPr>
            <w:tcW w:w="2052" w:type="dxa"/>
            <w:tcBorders/>
            <w:shd w:color="auto" w:fill="auto" w:val="clear"/>
          </w:tcPr>
          <w:p>
            <w:pPr>
              <w:pStyle w:val="Normal"/>
              <w:widowControl w:val="false"/>
              <w:numPr>
                <w:ilvl w:val="0"/>
                <w:numId w:val="95"/>
              </w:numPr>
              <w:tabs>
                <w:tab w:val="clear" w:pos="720"/>
                <w:tab w:val="left" w:pos="369" w:leader="none"/>
              </w:tabs>
              <w:spacing w:before="120" w:after="40"/>
              <w:ind w:left="414" w:hanging="342"/>
              <w:outlineLvl w:val="2"/>
              <w:rPr>
                <w:rStyle w:val="Heading3Char"/>
                <w:rFonts w:ascii="Arial" w:hAnsi="Arial"/>
                <w:b/>
                <w:b/>
                <w:bCs w:val="false"/>
                <w:sz w:val="22"/>
                <w:szCs w:val="22"/>
              </w:rPr>
            </w:pPr>
            <w:bookmarkStart w:id="627" w:name="_Toc35418453"/>
            <w:bookmarkStart w:id="628" w:name="_Toc49569851"/>
            <w:bookmarkStart w:id="629" w:name="_Toc49504831"/>
            <w:bookmarkStart w:id="630" w:name="_Toc49591761"/>
            <w:bookmarkStart w:id="631" w:name="_Toc49504280"/>
            <w:bookmarkStart w:id="632" w:name="_Toc49591413"/>
            <w:bookmarkStart w:id="633" w:name="_Toc49504713"/>
            <w:bookmarkStart w:id="634" w:name="_Toc421454301"/>
            <w:r>
              <w:rPr>
                <w:rStyle w:val="Heading3Char"/>
                <w:rFonts w:ascii="Arial" w:hAnsi="Arial"/>
                <w:b/>
                <w:bCs w:val="false"/>
                <w:sz w:val="22"/>
                <w:szCs w:val="22"/>
              </w:rPr>
              <w:t>Contract Price</w:t>
            </w:r>
            <w:bookmarkEnd w:id="627"/>
            <w:bookmarkEnd w:id="628"/>
            <w:bookmarkEnd w:id="629"/>
            <w:bookmarkEnd w:id="630"/>
            <w:bookmarkEnd w:id="631"/>
            <w:bookmarkEnd w:id="632"/>
            <w:bookmarkEnd w:id="633"/>
            <w:bookmarkEnd w:id="634"/>
          </w:p>
        </w:tc>
        <w:tc>
          <w:tcPr>
            <w:tcW w:w="7559" w:type="dxa"/>
            <w:tcBorders/>
          </w:tcPr>
          <w:p>
            <w:pPr>
              <w:pStyle w:val="SubClauseText"/>
              <w:widowControl w:val="false"/>
              <w:numPr>
                <w:ilvl w:val="0"/>
                <w:numId w:val="126"/>
              </w:numPr>
              <w:tabs>
                <w:tab w:val="clear" w:pos="720"/>
                <w:tab w:val="left" w:pos="612" w:leader="none"/>
              </w:tabs>
              <w:spacing w:before="120" w:after="40"/>
              <w:ind w:left="612" w:hanging="612"/>
              <w:rPr>
                <w:rFonts w:ascii="Arial" w:hAnsi="Arial" w:cs="Arial"/>
                <w:sz w:val="22"/>
                <w:szCs w:val="22"/>
                <w:lang w:val="en-GB"/>
              </w:rPr>
            </w:pPr>
            <w:r>
              <w:rPr>
                <w:rFonts w:cs="Arial" w:ascii="Arial" w:hAnsi="Arial"/>
                <w:sz w:val="22"/>
                <w:szCs w:val="22"/>
                <w:lang w:val="en-GB"/>
              </w:rPr>
              <w:t xml:space="preserve">The Contract Price shall be as specified in the </w:t>
            </w:r>
            <w:r>
              <w:rPr>
                <w:rFonts w:cs="Arial" w:ascii="Arial" w:hAnsi="Arial"/>
                <w:b/>
                <w:sz w:val="22"/>
                <w:szCs w:val="22"/>
                <w:lang w:val="en-GB"/>
              </w:rPr>
              <w:t>PCC</w:t>
            </w:r>
            <w:r>
              <w:rPr>
                <w:rFonts w:cs="Arial" w:ascii="Arial" w:hAnsi="Arial"/>
                <w:sz w:val="22"/>
                <w:szCs w:val="22"/>
                <w:lang w:val="en-GB"/>
              </w:rPr>
              <w:t xml:space="preserve"> subject to any additions and adjustments thereto or deductions therefrom, as may be made pursuant to the Contract.</w:t>
            </w:r>
          </w:p>
        </w:tc>
      </w:tr>
      <w:tr>
        <w:trPr>
          <w:trHeight w:val="1269" w:hRule="atLeast"/>
        </w:trPr>
        <w:tc>
          <w:tcPr>
            <w:tcW w:w="2052" w:type="dxa"/>
            <w:tcBorders/>
            <w:shd w:color="auto" w:fill="auto" w:val="clear"/>
          </w:tcPr>
          <w:p>
            <w:pPr>
              <w:pStyle w:val="Normal"/>
              <w:widowControl w:val="false"/>
              <w:spacing w:before="120" w:after="40"/>
              <w:rPr>
                <w:rFonts w:ascii="Arial" w:hAnsi="Arial" w:cs="Arial"/>
                <w:spacing w:val="-20"/>
                <w:sz w:val="22"/>
                <w:szCs w:val="22"/>
                <w:lang w:val="en-GB"/>
              </w:rPr>
            </w:pPr>
            <w:r>
              <w:rPr>
                <w:rFonts w:cs="Arial" w:ascii="Arial" w:hAnsi="Arial"/>
                <w:spacing w:val="-20"/>
                <w:sz w:val="22"/>
                <w:szCs w:val="22"/>
                <w:lang w:val="en-GB"/>
              </w:rPr>
            </w:r>
          </w:p>
        </w:tc>
        <w:tc>
          <w:tcPr>
            <w:tcW w:w="7559" w:type="dxa"/>
            <w:tcBorders/>
          </w:tcPr>
          <w:p>
            <w:pPr>
              <w:pStyle w:val="SubClauseText"/>
              <w:widowControl w:val="false"/>
              <w:numPr>
                <w:ilvl w:val="0"/>
                <w:numId w:val="126"/>
              </w:numPr>
              <w:tabs>
                <w:tab w:val="clear" w:pos="720"/>
                <w:tab w:val="left" w:pos="612" w:leader="none"/>
              </w:tabs>
              <w:spacing w:before="120" w:after="40"/>
              <w:ind w:left="612" w:hanging="612"/>
              <w:rPr>
                <w:rFonts w:ascii="Arial" w:hAnsi="Arial" w:cs="Arial"/>
                <w:sz w:val="22"/>
                <w:szCs w:val="22"/>
                <w:lang w:val="en-GB"/>
              </w:rPr>
            </w:pPr>
            <w:r>
              <w:rPr>
                <w:rFonts w:cs="Arial" w:ascii="Arial" w:hAnsi="Arial"/>
                <w:sz w:val="22"/>
                <w:szCs w:val="22"/>
                <w:lang w:val="en-GB"/>
              </w:rPr>
              <w:t>Prices charged by the Supplier for the Goods delivered and the related services performed under the Contract shall not vary from the price as stated under GCC Subclause 23.1, with the exception of any change in price resulting from a Variation Order or Repeat Order or Order for Additional Delivery issued under GCC Clause 18.</w:t>
            </w:r>
          </w:p>
        </w:tc>
      </w:tr>
      <w:tr>
        <w:trPr/>
        <w:tc>
          <w:tcPr>
            <w:tcW w:w="2052" w:type="dxa"/>
            <w:tcBorders/>
          </w:tcPr>
          <w:p>
            <w:pPr>
              <w:pStyle w:val="Normal"/>
              <w:widowControl w:val="false"/>
              <w:numPr>
                <w:ilvl w:val="0"/>
                <w:numId w:val="95"/>
              </w:numPr>
              <w:tabs>
                <w:tab w:val="clear" w:pos="720"/>
                <w:tab w:val="left" w:pos="369" w:leader="none"/>
              </w:tabs>
              <w:spacing w:before="120" w:after="40"/>
              <w:ind w:left="414" w:hanging="342"/>
              <w:outlineLvl w:val="2"/>
              <w:rPr>
                <w:rStyle w:val="Heading3Char"/>
                <w:rFonts w:ascii="Arial" w:hAnsi="Arial"/>
                <w:b/>
                <w:b/>
                <w:bCs w:val="false"/>
                <w:sz w:val="22"/>
                <w:szCs w:val="22"/>
              </w:rPr>
            </w:pPr>
            <w:bookmarkStart w:id="635" w:name="_Toc49569852"/>
            <w:bookmarkStart w:id="636" w:name="_Toc421454302"/>
            <w:bookmarkStart w:id="637" w:name="_Toc49591762"/>
            <w:bookmarkStart w:id="638" w:name="_Toc49591414"/>
            <w:bookmarkStart w:id="639" w:name="_Toc49504832"/>
            <w:bookmarkStart w:id="640" w:name="_Toc49504714"/>
            <w:bookmarkStart w:id="641" w:name="_Toc49504281"/>
            <w:r>
              <w:rPr>
                <w:rStyle w:val="Heading3Char"/>
                <w:rFonts w:ascii="Arial" w:hAnsi="Arial"/>
                <w:b/>
                <w:bCs w:val="false"/>
                <w:sz w:val="20"/>
                <w:szCs w:val="22"/>
              </w:rPr>
              <w:t>Transportation</w:t>
            </w:r>
            <w:bookmarkEnd w:id="635"/>
            <w:bookmarkEnd w:id="636"/>
            <w:bookmarkEnd w:id="637"/>
            <w:bookmarkEnd w:id="638"/>
            <w:bookmarkEnd w:id="639"/>
            <w:bookmarkEnd w:id="640"/>
            <w:bookmarkEnd w:id="641"/>
          </w:p>
        </w:tc>
        <w:tc>
          <w:tcPr>
            <w:tcW w:w="7559" w:type="dxa"/>
            <w:tcBorders/>
          </w:tcPr>
          <w:p>
            <w:pPr>
              <w:pStyle w:val="Normal"/>
              <w:widowControl w:val="false"/>
              <w:numPr>
                <w:ilvl w:val="3"/>
                <w:numId w:val="50"/>
              </w:numPr>
              <w:tabs>
                <w:tab w:val="clear" w:pos="720"/>
                <w:tab w:val="left" w:pos="612" w:leader="none"/>
              </w:tabs>
              <w:spacing w:before="120" w:after="40"/>
              <w:ind w:left="612" w:hanging="612"/>
              <w:jc w:val="both"/>
              <w:rPr>
                <w:rFonts w:ascii="Arial" w:hAnsi="Arial" w:cs="Arial"/>
                <w:sz w:val="22"/>
                <w:szCs w:val="22"/>
                <w:lang w:val="en-GB"/>
              </w:rPr>
            </w:pPr>
            <w:r>
              <w:rPr>
                <w:rFonts w:cs="Arial" w:ascii="Arial" w:hAnsi="Arial"/>
                <w:sz w:val="22"/>
                <w:szCs w:val="22"/>
                <w:lang w:val="en-GB"/>
              </w:rPr>
              <w:t>The Supplier is required under the Contract to transport the Goods to a specified place of destination as specified in Section 6: Schedule of Requirements, defined as the Site, transport to such place of destination, including insurance, other incidental costs, and temporary storage, if any.</w:t>
            </w:r>
          </w:p>
        </w:tc>
      </w:tr>
      <w:tr>
        <w:trPr/>
        <w:tc>
          <w:tcPr>
            <w:tcW w:w="2052" w:type="dxa"/>
            <w:vMerge w:val="restart"/>
            <w:tcBorders/>
            <w:shd w:color="auto" w:fill="auto" w:val="clear"/>
          </w:tcPr>
          <w:p>
            <w:pPr>
              <w:pStyle w:val="Normal"/>
              <w:widowControl w:val="false"/>
              <w:numPr>
                <w:ilvl w:val="0"/>
                <w:numId w:val="95"/>
              </w:numPr>
              <w:tabs>
                <w:tab w:val="clear" w:pos="720"/>
                <w:tab w:val="left" w:pos="369" w:leader="none"/>
              </w:tabs>
              <w:spacing w:before="120" w:after="40"/>
              <w:ind w:left="414" w:hanging="342"/>
              <w:outlineLvl w:val="2"/>
              <w:rPr>
                <w:rStyle w:val="Heading3Char"/>
                <w:rFonts w:ascii="Arial" w:hAnsi="Arial"/>
                <w:b/>
                <w:b/>
                <w:bCs w:val="false"/>
                <w:sz w:val="22"/>
                <w:szCs w:val="22"/>
              </w:rPr>
            </w:pPr>
            <w:bookmarkStart w:id="642" w:name="_Toc37234124"/>
            <w:bookmarkStart w:id="643" w:name="_Toc49504717"/>
            <w:bookmarkStart w:id="644" w:name="_Toc49591765"/>
            <w:bookmarkStart w:id="645" w:name="_Toc49569855"/>
            <w:bookmarkStart w:id="646" w:name="_Toc421454303"/>
            <w:bookmarkStart w:id="647" w:name="_Toc49591417"/>
            <w:bookmarkStart w:id="648" w:name="_Toc35418454"/>
            <w:bookmarkStart w:id="649" w:name="_Toc49504835"/>
            <w:bookmarkStart w:id="650" w:name="_Toc49504284"/>
            <w:r>
              <w:rPr>
                <w:rStyle w:val="Heading3Char"/>
                <w:rFonts w:ascii="Arial" w:hAnsi="Arial"/>
                <w:b/>
                <w:bCs w:val="false"/>
                <w:sz w:val="22"/>
                <w:szCs w:val="22"/>
              </w:rPr>
              <w:t>Terms of Payment</w:t>
            </w:r>
            <w:bookmarkEnd w:id="642"/>
            <w:bookmarkEnd w:id="643"/>
            <w:bookmarkEnd w:id="644"/>
            <w:bookmarkEnd w:id="645"/>
            <w:bookmarkEnd w:id="646"/>
            <w:bookmarkEnd w:id="647"/>
            <w:bookmarkEnd w:id="648"/>
            <w:bookmarkEnd w:id="649"/>
            <w:bookmarkEnd w:id="650"/>
          </w:p>
        </w:tc>
        <w:tc>
          <w:tcPr>
            <w:tcW w:w="7559" w:type="dxa"/>
            <w:tcBorders/>
          </w:tcPr>
          <w:p>
            <w:pPr>
              <w:pStyle w:val="SubClauseText"/>
              <w:widowControl w:val="false"/>
              <w:numPr>
                <w:ilvl w:val="0"/>
                <w:numId w:val="65"/>
              </w:numPr>
              <w:tabs>
                <w:tab w:val="clear" w:pos="720"/>
                <w:tab w:val="left" w:pos="612" w:leader="none"/>
              </w:tabs>
              <w:spacing w:before="120" w:after="40"/>
              <w:ind w:left="612" w:hanging="612"/>
              <w:rPr>
                <w:rFonts w:ascii="Arial" w:hAnsi="Arial" w:cs="Arial"/>
                <w:sz w:val="22"/>
                <w:szCs w:val="22"/>
                <w:lang w:val="en-GB"/>
              </w:rPr>
            </w:pPr>
            <w:r>
              <w:rPr>
                <w:rFonts w:cs="Arial" w:ascii="Arial" w:hAnsi="Arial"/>
                <w:sz w:val="22"/>
                <w:szCs w:val="22"/>
                <w:lang w:val="en-GB"/>
              </w:rPr>
              <w:t xml:space="preserve">The Contract Price, including any Advance Payments, if applicable, shall be paid in the manner as specified in the </w:t>
            </w:r>
            <w:r>
              <w:rPr>
                <w:rFonts w:cs="Arial" w:ascii="Arial" w:hAnsi="Arial"/>
                <w:b/>
                <w:sz w:val="22"/>
                <w:szCs w:val="22"/>
                <w:lang w:val="en-GB"/>
              </w:rPr>
              <w:t>PCC</w:t>
            </w:r>
            <w:r>
              <w:rPr>
                <w:rFonts w:cs="Arial" w:ascii="Arial" w:hAnsi="Arial"/>
                <w:sz w:val="22"/>
                <w:szCs w:val="22"/>
                <w:lang w:val="en-GB"/>
              </w:rPr>
              <w:t>.</w:t>
            </w:r>
          </w:p>
        </w:tc>
      </w:tr>
      <w:tr>
        <w:trPr/>
        <w:tc>
          <w:tcPr>
            <w:tcW w:w="2052" w:type="dxa"/>
            <w:vMerge w:val="continue"/>
            <w:tcBorders/>
            <w:shd w:color="auto" w:fill="auto" w:val="clear"/>
          </w:tcPr>
          <w:p>
            <w:pPr>
              <w:pStyle w:val="Normal"/>
              <w:widowControl w:val="false"/>
              <w:spacing w:before="120" w:after="4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65"/>
              </w:numPr>
              <w:tabs>
                <w:tab w:val="clear" w:pos="720"/>
                <w:tab w:val="left" w:pos="567" w:leader="none"/>
              </w:tabs>
              <w:spacing w:before="120" w:after="40"/>
              <w:ind w:left="585" w:hanging="576"/>
              <w:rPr>
                <w:rFonts w:ascii="Arial" w:hAnsi="Arial" w:cs="Arial"/>
                <w:sz w:val="22"/>
                <w:szCs w:val="22"/>
                <w:lang w:val="en-GB"/>
              </w:rPr>
            </w:pPr>
            <w:r>
              <w:rPr>
                <w:rFonts w:cs="Arial" w:ascii="Arial" w:hAnsi="Arial"/>
                <w:sz w:val="22"/>
                <w:szCs w:val="22"/>
                <w:lang w:val="en-GB"/>
              </w:rPr>
              <w:t>The Supplier’s request for payment shall be made to the Procuring Entity in writing, accompanied by an invoice describing, as appropriate, the Goods delivered and related services performed, and accompanied by the documents as stated under GCC Clause 21 and 22 and upon fulfilment of any other obligations stipulated in the Contract Agreement.</w:t>
            </w:r>
          </w:p>
        </w:tc>
      </w:tr>
      <w:tr>
        <w:trPr/>
        <w:tc>
          <w:tcPr>
            <w:tcW w:w="2052" w:type="dxa"/>
            <w:vMerge w:val="continue"/>
            <w:tcBorders/>
            <w:shd w:color="auto" w:fill="auto" w:val="clear"/>
          </w:tcPr>
          <w:p>
            <w:pPr>
              <w:pStyle w:val="Normal"/>
              <w:widowControl w:val="false"/>
              <w:spacing w:before="60" w:after="6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65"/>
              </w:numPr>
              <w:tabs>
                <w:tab w:val="clear" w:pos="720"/>
                <w:tab w:val="left" w:pos="567" w:leader="none"/>
              </w:tabs>
              <w:spacing w:before="120" w:after="80"/>
              <w:ind w:left="585" w:hanging="576"/>
              <w:rPr>
                <w:rFonts w:ascii="Arial" w:hAnsi="Arial" w:cs="Arial"/>
                <w:sz w:val="22"/>
                <w:szCs w:val="22"/>
                <w:lang w:val="en-GB"/>
              </w:rPr>
            </w:pPr>
            <w:r>
              <w:rPr>
                <w:rFonts w:cs="Arial" w:ascii="Arial" w:hAnsi="Arial"/>
                <w:sz w:val="22"/>
                <w:szCs w:val="22"/>
                <w:lang w:val="en-GB"/>
              </w:rPr>
              <w:t xml:space="preserve"> </w:t>
            </w:r>
            <w:r>
              <w:rPr>
                <w:rFonts w:cs="Arial" w:ascii="Arial" w:hAnsi="Arial"/>
                <w:sz w:val="22"/>
                <w:szCs w:val="22"/>
                <w:lang w:val="en-GB"/>
              </w:rPr>
              <w:t xml:space="preserve">Payments shall be made promptly by the Procuring Entity, but in no case later than the days indicated in the </w:t>
            </w:r>
            <w:r>
              <w:rPr>
                <w:rFonts w:cs="Arial" w:ascii="Arial" w:hAnsi="Arial"/>
                <w:b/>
                <w:sz w:val="22"/>
                <w:szCs w:val="22"/>
                <w:lang w:val="en-GB"/>
              </w:rPr>
              <w:t>PCC</w:t>
            </w:r>
            <w:r>
              <w:rPr>
                <w:rFonts w:cs="Arial" w:ascii="Arial" w:hAnsi="Arial"/>
                <w:sz w:val="22"/>
                <w:szCs w:val="22"/>
                <w:lang w:val="en-GB"/>
              </w:rPr>
              <w:t xml:space="preserve"> after submission of an invoice or request for payment by the Supplier, and after the Procuring Entity has accepted it.</w:t>
            </w:r>
          </w:p>
        </w:tc>
      </w:tr>
      <w:tr>
        <w:trPr/>
        <w:tc>
          <w:tcPr>
            <w:tcW w:w="2052" w:type="dxa"/>
            <w:vMerge w:val="continue"/>
            <w:tcBorders/>
            <w:shd w:color="auto" w:fill="auto" w:val="clear"/>
          </w:tcPr>
          <w:p>
            <w:pPr>
              <w:pStyle w:val="Normal"/>
              <w:widowControl w:val="false"/>
              <w:spacing w:before="60" w:after="6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65"/>
              </w:numPr>
              <w:tabs>
                <w:tab w:val="clear" w:pos="720"/>
                <w:tab w:val="left" w:pos="549" w:leader="none"/>
              </w:tabs>
              <w:spacing w:before="120" w:after="80"/>
              <w:ind w:left="585" w:hanging="576"/>
              <w:rPr>
                <w:rFonts w:ascii="Arial" w:hAnsi="Arial" w:cs="Arial"/>
                <w:sz w:val="22"/>
                <w:szCs w:val="22"/>
                <w:lang w:val="en-GB"/>
              </w:rPr>
            </w:pPr>
            <w:r>
              <w:rPr>
                <w:rFonts w:cs="Arial" w:ascii="Arial" w:hAnsi="Arial"/>
                <w:sz w:val="22"/>
                <w:szCs w:val="22"/>
                <w:lang w:val="en-GB"/>
              </w:rPr>
              <w:t>Payments due to the Supplier under this Contract shall be made in Bangladesh Taka (BDT) Currency.</w:t>
            </w:r>
          </w:p>
        </w:tc>
      </w:tr>
      <w:tr>
        <w:trPr>
          <w:trHeight w:val="1458" w:hRule="atLeast"/>
        </w:trPr>
        <w:tc>
          <w:tcPr>
            <w:tcW w:w="2052" w:type="dxa"/>
            <w:vMerge w:val="continue"/>
            <w:tcBorders/>
            <w:shd w:color="auto" w:fill="auto" w:val="clear"/>
          </w:tcPr>
          <w:p>
            <w:pPr>
              <w:pStyle w:val="Normal"/>
              <w:widowControl w:val="false"/>
              <w:spacing w:before="60" w:after="6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65"/>
              </w:numPr>
              <w:tabs>
                <w:tab w:val="clear" w:pos="720"/>
                <w:tab w:val="left" w:pos="549" w:leader="none"/>
              </w:tabs>
              <w:spacing w:before="120" w:after="80"/>
              <w:ind w:left="585" w:hanging="576"/>
              <w:rPr>
                <w:rFonts w:ascii="Arial" w:hAnsi="Arial" w:cs="Arial"/>
                <w:i/>
                <w:i/>
                <w:color w:val="0000FF"/>
                <w:sz w:val="22"/>
                <w:szCs w:val="22"/>
                <w:lang w:val="en-GB"/>
              </w:rPr>
            </w:pPr>
            <w:r>
              <w:rPr>
                <w:rFonts w:cs="Arial" w:ascii="Arial" w:hAnsi="Arial"/>
                <w:sz w:val="22"/>
                <w:szCs w:val="22"/>
                <w:lang w:val="en-GB"/>
              </w:rPr>
              <w:t xml:space="preserve">In the event that the Procuring Entity fails to pay the Tenderer any payment by its respective due date or within the period as stated under GCC Sub Clause 25.3, the Procuring Entity shall pay to the Supplier interest on the amount of such delayed payment at the rate specified in the </w:t>
            </w:r>
            <w:r>
              <w:rPr>
                <w:rFonts w:cs="Arial" w:ascii="Arial" w:hAnsi="Arial"/>
                <w:b/>
                <w:sz w:val="22"/>
                <w:szCs w:val="22"/>
                <w:lang w:val="en-GB"/>
              </w:rPr>
              <w:t>PCC</w:t>
            </w:r>
            <w:r>
              <w:rPr>
                <w:rFonts w:cs="Arial" w:ascii="Arial" w:hAnsi="Arial"/>
                <w:sz w:val="22"/>
                <w:szCs w:val="22"/>
                <w:lang w:val="en-GB"/>
              </w:rPr>
              <w:t>, for the period of delay until payment has been made in full.</w:t>
            </w:r>
          </w:p>
        </w:tc>
      </w:tr>
      <w:tr>
        <w:trPr/>
        <w:tc>
          <w:tcPr>
            <w:tcW w:w="2052" w:type="dxa"/>
            <w:tcBorders/>
          </w:tcPr>
          <w:p>
            <w:pPr>
              <w:pStyle w:val="Normal"/>
              <w:widowControl w:val="false"/>
              <w:numPr>
                <w:ilvl w:val="0"/>
                <w:numId w:val="95"/>
              </w:numPr>
              <w:tabs>
                <w:tab w:val="clear" w:pos="720"/>
                <w:tab w:val="left" w:pos="369" w:leader="none"/>
              </w:tabs>
              <w:spacing w:before="120" w:after="0"/>
              <w:ind w:left="414" w:hanging="342"/>
              <w:outlineLvl w:val="2"/>
              <w:rPr>
                <w:rStyle w:val="Heading3Char"/>
                <w:rFonts w:ascii="Arial" w:hAnsi="Arial"/>
                <w:b/>
                <w:b/>
                <w:bCs w:val="false"/>
                <w:sz w:val="22"/>
                <w:szCs w:val="22"/>
              </w:rPr>
            </w:pPr>
            <w:bookmarkStart w:id="651" w:name="_Toc49591766"/>
            <w:bookmarkStart w:id="652" w:name="_Toc421454304"/>
            <w:bookmarkStart w:id="653" w:name="_Toc49591418"/>
            <w:bookmarkStart w:id="654" w:name="_Toc49504836"/>
            <w:bookmarkStart w:id="655" w:name="_Toc49504718"/>
            <w:bookmarkStart w:id="656" w:name="_Toc49504285"/>
            <w:bookmarkStart w:id="657" w:name="_Toc49569856"/>
            <w:r>
              <w:rPr>
                <w:rStyle w:val="Heading3Char"/>
                <w:rFonts w:ascii="Arial" w:hAnsi="Arial"/>
                <w:b/>
                <w:bCs w:val="false"/>
                <w:sz w:val="22"/>
                <w:szCs w:val="22"/>
              </w:rPr>
              <w:t>Insurance</w:t>
            </w:r>
            <w:bookmarkEnd w:id="651"/>
            <w:bookmarkEnd w:id="652"/>
            <w:bookmarkEnd w:id="653"/>
            <w:bookmarkEnd w:id="654"/>
            <w:bookmarkEnd w:id="655"/>
            <w:bookmarkEnd w:id="656"/>
            <w:bookmarkEnd w:id="657"/>
          </w:p>
        </w:tc>
        <w:tc>
          <w:tcPr>
            <w:tcW w:w="7559" w:type="dxa"/>
            <w:tcBorders/>
          </w:tcPr>
          <w:p>
            <w:pPr>
              <w:pStyle w:val="SubClauseText"/>
              <w:widowControl w:val="false"/>
              <w:numPr>
                <w:ilvl w:val="0"/>
                <w:numId w:val="61"/>
              </w:numPr>
              <w:tabs>
                <w:tab w:val="clear" w:pos="720"/>
                <w:tab w:val="left" w:pos="522" w:leader="none"/>
              </w:tabs>
              <w:spacing w:before="120" w:after="80"/>
              <w:ind w:left="522" w:hanging="522"/>
              <w:rPr>
                <w:rFonts w:ascii="Arial" w:hAnsi="Arial" w:cs="Arial"/>
                <w:sz w:val="22"/>
                <w:szCs w:val="22"/>
                <w:lang w:val="en-GB"/>
              </w:rPr>
            </w:pPr>
            <w:r>
              <w:rPr>
                <w:rFonts w:cs="Arial" w:ascii="Arial" w:hAnsi="Arial"/>
                <w:sz w:val="22"/>
                <w:szCs w:val="22"/>
                <w:lang w:val="en-GB"/>
              </w:rPr>
              <w:t>The Goods supplied under this Contract shall be fully insured by the Supplier against loss or damage incidental to manufacture or acquisition, transportation, storage, and delivery until their acceptance by the Procuring Entity.</w:t>
            </w:r>
          </w:p>
        </w:tc>
      </w:tr>
      <w:tr>
        <w:trPr/>
        <w:tc>
          <w:tcPr>
            <w:tcW w:w="2052" w:type="dxa"/>
            <w:tcBorders/>
          </w:tcPr>
          <w:p>
            <w:pPr>
              <w:pStyle w:val="Normal"/>
              <w:widowControl w:val="false"/>
              <w:numPr>
                <w:ilvl w:val="0"/>
                <w:numId w:val="95"/>
              </w:numPr>
              <w:tabs>
                <w:tab w:val="clear" w:pos="720"/>
                <w:tab w:val="left" w:pos="369" w:leader="none"/>
              </w:tabs>
              <w:spacing w:before="120" w:after="0"/>
              <w:ind w:left="414" w:hanging="342"/>
              <w:outlineLvl w:val="2"/>
              <w:rPr>
                <w:rStyle w:val="Heading3Char"/>
                <w:rFonts w:ascii="Arial" w:hAnsi="Arial"/>
                <w:b/>
                <w:b/>
                <w:bCs w:val="false"/>
                <w:sz w:val="22"/>
                <w:szCs w:val="22"/>
              </w:rPr>
            </w:pPr>
            <w:bookmarkStart w:id="658" w:name="_Toc49591419"/>
            <w:bookmarkStart w:id="659" w:name="_Toc35418455"/>
            <w:bookmarkStart w:id="660" w:name="_Toc49591767"/>
            <w:bookmarkStart w:id="661" w:name="_Toc49569857"/>
            <w:bookmarkStart w:id="662" w:name="_Toc49504837"/>
            <w:bookmarkStart w:id="663" w:name="_Toc49504286"/>
            <w:bookmarkStart w:id="664" w:name="_Toc421454305"/>
            <w:bookmarkStart w:id="665" w:name="_Toc49504719"/>
            <w:r>
              <w:rPr>
                <w:rStyle w:val="Heading3Char"/>
                <w:rFonts w:ascii="Arial" w:hAnsi="Arial"/>
                <w:b/>
                <w:bCs w:val="false"/>
                <w:sz w:val="22"/>
                <w:szCs w:val="22"/>
              </w:rPr>
              <w:t>Taxes and Duties</w:t>
            </w:r>
            <w:bookmarkEnd w:id="658"/>
            <w:bookmarkEnd w:id="659"/>
            <w:bookmarkEnd w:id="660"/>
            <w:bookmarkEnd w:id="661"/>
            <w:bookmarkEnd w:id="662"/>
            <w:bookmarkEnd w:id="663"/>
            <w:bookmarkEnd w:id="664"/>
            <w:bookmarkEnd w:id="665"/>
          </w:p>
        </w:tc>
        <w:tc>
          <w:tcPr>
            <w:tcW w:w="7559" w:type="dxa"/>
            <w:tcBorders/>
          </w:tcPr>
          <w:p>
            <w:pPr>
              <w:pStyle w:val="SubClauseText"/>
              <w:widowControl w:val="false"/>
              <w:numPr>
                <w:ilvl w:val="0"/>
                <w:numId w:val="62"/>
              </w:numPr>
              <w:tabs>
                <w:tab w:val="clear" w:pos="720"/>
                <w:tab w:val="left" w:pos="522" w:leader="none"/>
              </w:tabs>
              <w:spacing w:before="120" w:after="80"/>
              <w:ind w:left="522" w:hanging="522"/>
              <w:rPr>
                <w:rFonts w:ascii="Arial" w:hAnsi="Arial" w:cs="Arial"/>
                <w:sz w:val="22"/>
                <w:szCs w:val="22"/>
                <w:lang w:val="en-GB"/>
              </w:rPr>
            </w:pPr>
            <w:r>
              <w:rPr>
                <w:rFonts w:cs="Arial" w:ascii="Arial" w:hAnsi="Arial"/>
                <w:sz w:val="22"/>
                <w:szCs w:val="22"/>
                <w:lang w:val="en-GB"/>
              </w:rPr>
              <w:t>The Supplier shall be entirely responsible for all applicable taxes, custom duties, VAT and other levies imposed or incurred inside or outside Bangladesh.</w:t>
            </w:r>
          </w:p>
        </w:tc>
      </w:tr>
      <w:tr>
        <w:trPr/>
        <w:tc>
          <w:tcPr>
            <w:tcW w:w="2052" w:type="dxa"/>
            <w:tcBorders/>
            <w:shd w:color="auto" w:fill="auto" w:val="clear"/>
          </w:tcPr>
          <w:p>
            <w:pPr>
              <w:pStyle w:val="Normal"/>
              <w:widowControl w:val="false"/>
              <w:numPr>
                <w:ilvl w:val="0"/>
                <w:numId w:val="95"/>
              </w:numPr>
              <w:tabs>
                <w:tab w:val="clear" w:pos="720"/>
                <w:tab w:val="left" w:pos="369" w:leader="none"/>
              </w:tabs>
              <w:spacing w:before="120" w:after="0"/>
              <w:ind w:left="414" w:hanging="342"/>
              <w:outlineLvl w:val="2"/>
              <w:rPr>
                <w:rStyle w:val="Heading3Char"/>
                <w:rFonts w:ascii="Arial" w:hAnsi="Arial"/>
                <w:b/>
                <w:b/>
                <w:bCs w:val="false"/>
                <w:sz w:val="22"/>
                <w:szCs w:val="22"/>
              </w:rPr>
            </w:pPr>
            <w:bookmarkStart w:id="666" w:name="_Toc421454306"/>
            <w:r>
              <w:rPr>
                <w:rStyle w:val="Heading3Char"/>
                <w:rFonts w:ascii="Arial" w:hAnsi="Arial"/>
                <w:b/>
                <w:bCs w:val="false"/>
                <w:sz w:val="22"/>
                <w:szCs w:val="22"/>
              </w:rPr>
              <w:t>Performance Security</w:t>
            </w:r>
            <w:bookmarkEnd w:id="666"/>
          </w:p>
        </w:tc>
        <w:tc>
          <w:tcPr>
            <w:tcW w:w="7559" w:type="dxa"/>
            <w:tcBorders/>
          </w:tcPr>
          <w:p>
            <w:pPr>
              <w:pStyle w:val="SubClauseText"/>
              <w:widowControl w:val="false"/>
              <w:numPr>
                <w:ilvl w:val="1"/>
                <w:numId w:val="62"/>
              </w:numPr>
              <w:spacing w:before="120" w:after="80"/>
              <w:ind w:left="540" w:hanging="540"/>
              <w:rPr>
                <w:rFonts w:ascii="Arial" w:hAnsi="Arial" w:cs="Arial"/>
                <w:sz w:val="22"/>
                <w:szCs w:val="22"/>
                <w:lang w:val="en-GB"/>
              </w:rPr>
            </w:pPr>
            <w:r>
              <w:rPr>
                <w:rFonts w:cs="Arial" w:ascii="Arial" w:hAnsi="Arial"/>
                <w:sz w:val="22"/>
                <w:szCs w:val="22"/>
                <w:lang w:val="en-GB"/>
              </w:rPr>
              <w:t>The Procuring Entity shall notify the Supplier of any claim made against the Bank issuing the Performance Security.</w:t>
            </w:r>
          </w:p>
        </w:tc>
      </w:tr>
      <w:tr>
        <w:trPr/>
        <w:tc>
          <w:tcPr>
            <w:tcW w:w="2052" w:type="dxa"/>
            <w:tcBorders/>
            <w:shd w:color="auto" w:fill="auto" w:val="clear"/>
          </w:tcPr>
          <w:p>
            <w:pPr>
              <w:pStyle w:val="Heading4"/>
              <w:widowControl w:val="false"/>
              <w:spacing w:before="120" w:after="120"/>
              <w:ind w:left="252" w:hanging="0"/>
              <w:jc w:val="both"/>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1"/>
                <w:numId w:val="62"/>
              </w:numPr>
              <w:spacing w:before="120" w:after="80"/>
              <w:ind w:left="585" w:hanging="576"/>
              <w:rPr>
                <w:rFonts w:ascii="Arial" w:hAnsi="Arial" w:cs="Arial"/>
                <w:sz w:val="22"/>
                <w:szCs w:val="22"/>
                <w:lang w:val="en-GB"/>
              </w:rPr>
            </w:pPr>
            <w:r>
              <w:rPr>
                <w:rFonts w:cs="Arial" w:ascii="Arial" w:hAnsi="Arial"/>
                <w:sz w:val="22"/>
                <w:szCs w:val="22"/>
                <w:lang w:val="en-GB"/>
              </w:rPr>
              <w:t>The Procuring Entity may claim against the security if any of the following events occurs for fourteen (14) days or more.</w:t>
            </w:r>
          </w:p>
          <w:p>
            <w:pPr>
              <w:pStyle w:val="Normal"/>
              <w:widowControl w:val="false"/>
              <w:numPr>
                <w:ilvl w:val="2"/>
                <w:numId w:val="108"/>
              </w:numPr>
              <w:tabs>
                <w:tab w:val="clear" w:pos="720"/>
              </w:tabs>
              <w:spacing w:before="120" w:after="80"/>
              <w:ind w:left="972" w:hanging="414"/>
              <w:jc w:val="both"/>
              <w:rPr>
                <w:rFonts w:ascii="Arial" w:hAnsi="Arial" w:eastAsia="Times New Roman" w:cs="Arial"/>
                <w:spacing w:val="-4"/>
                <w:sz w:val="22"/>
                <w:szCs w:val="22"/>
                <w:lang w:val="en-GB" w:eastAsia="en-US"/>
              </w:rPr>
            </w:pPr>
            <w:r>
              <w:rPr>
                <w:rFonts w:eastAsia="Times New Roman" w:cs="Arial" w:ascii="Arial" w:hAnsi="Arial"/>
                <w:spacing w:val="-4"/>
                <w:sz w:val="22"/>
                <w:szCs w:val="22"/>
                <w:lang w:val="en-GB" w:eastAsia="en-US"/>
              </w:rPr>
              <w:t>The Supplier is in breach of the Contract and the Procuring Entity has duly notified him or her ; and</w:t>
            </w:r>
          </w:p>
          <w:p>
            <w:pPr>
              <w:pStyle w:val="Normal"/>
              <w:widowControl w:val="false"/>
              <w:numPr>
                <w:ilvl w:val="2"/>
                <w:numId w:val="108"/>
              </w:numPr>
              <w:tabs>
                <w:tab w:val="clear" w:pos="720"/>
              </w:tabs>
              <w:spacing w:before="120" w:after="80"/>
              <w:ind w:left="972" w:hanging="414"/>
              <w:jc w:val="both"/>
              <w:rPr>
                <w:rFonts w:ascii="Arial" w:hAnsi="Arial" w:cs="Arial"/>
                <w:sz w:val="22"/>
                <w:szCs w:val="22"/>
                <w:lang w:val="en-GB"/>
              </w:rPr>
            </w:pPr>
            <w:r>
              <w:rPr>
                <w:rFonts w:eastAsia="Times New Roman" w:cs="Arial" w:ascii="Arial" w:hAnsi="Arial"/>
                <w:spacing w:val="-4"/>
                <w:sz w:val="22"/>
                <w:szCs w:val="22"/>
                <w:lang w:val="en-GB" w:eastAsia="en-US"/>
              </w:rPr>
              <w:t>The Supplier has not paid an amount due to the Procuring Entity and the Procuring Entity has duly notified him or her.</w:t>
            </w:r>
          </w:p>
        </w:tc>
      </w:tr>
      <w:tr>
        <w:trPr/>
        <w:tc>
          <w:tcPr>
            <w:tcW w:w="2052" w:type="dxa"/>
            <w:vMerge w:val="restart"/>
            <w:tcBorders/>
            <w:shd w:color="auto" w:fill="auto" w:val="clear"/>
          </w:tcPr>
          <w:p>
            <w:pPr>
              <w:pStyle w:val="Heading4"/>
              <w:widowControl w:val="false"/>
              <w:spacing w:before="120" w:after="120"/>
              <w:ind w:left="252" w:hanging="0"/>
              <w:jc w:val="both"/>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1"/>
                <w:numId w:val="62"/>
              </w:numPr>
              <w:spacing w:before="120" w:after="80"/>
              <w:ind w:left="585" w:hanging="576"/>
              <w:rPr>
                <w:rFonts w:ascii="Arial" w:hAnsi="Arial" w:cs="Arial"/>
                <w:sz w:val="22"/>
                <w:szCs w:val="22"/>
                <w:lang w:val="en-GB"/>
              </w:rPr>
            </w:pPr>
            <w:r>
              <w:rPr>
                <w:rFonts w:cs="Arial" w:ascii="Arial" w:hAnsi="Arial"/>
                <w:sz w:val="22"/>
                <w:szCs w:val="22"/>
                <w:lang w:val="en-GB"/>
              </w:rPr>
              <w:t xml:space="preserve"> </w:t>
            </w:r>
            <w:r>
              <w:rPr>
                <w:rFonts w:cs="Arial" w:ascii="Arial" w:hAnsi="Arial"/>
                <w:sz w:val="22"/>
                <w:szCs w:val="22"/>
                <w:lang w:val="en-GB"/>
              </w:rPr>
              <w:t>In the event as stated under GCC Sub Clause 28.2, the Supplier is liable to pay compensation under the Contract amounting to the full value of the Performance Security or more, the Procuring Entity may call the full amount of the security.</w:t>
            </w:r>
          </w:p>
        </w:tc>
      </w:tr>
      <w:tr>
        <w:trPr/>
        <w:tc>
          <w:tcPr>
            <w:tcW w:w="2052" w:type="dxa"/>
            <w:vMerge w:val="continue"/>
            <w:tcBorders/>
            <w:shd w:color="auto" w:fill="auto" w:val="clear"/>
          </w:tcPr>
          <w:p>
            <w:pPr>
              <w:pStyle w:val="Heading4"/>
              <w:widowControl w:val="false"/>
              <w:spacing w:before="120" w:after="120"/>
              <w:ind w:left="252" w:hanging="0"/>
              <w:jc w:val="both"/>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1"/>
                <w:numId w:val="62"/>
              </w:numPr>
              <w:spacing w:before="120" w:after="80"/>
              <w:ind w:left="585" w:hanging="576"/>
              <w:rPr>
                <w:rFonts w:ascii="Arial" w:hAnsi="Arial" w:cs="Arial"/>
                <w:sz w:val="22"/>
                <w:szCs w:val="22"/>
                <w:lang w:val="en-GB"/>
              </w:rPr>
            </w:pPr>
            <w:r>
              <w:rPr>
                <w:rFonts w:cs="Arial" w:ascii="Arial" w:hAnsi="Arial"/>
                <w:sz w:val="22"/>
                <w:szCs w:val="22"/>
                <w:lang w:val="en-GB"/>
              </w:rPr>
              <w:t xml:space="preserve">If there is no reason to call the security, the security shall be discharged by the Procuring Entity and returned to the Supplier not later than twenty-eight (28) days following the date of Completion of the Supplier’s performance obligations under the Contract and the issuance of the </w:t>
            </w:r>
            <w:r>
              <w:rPr>
                <w:rFonts w:cs="Arial" w:ascii="Arial" w:hAnsi="Arial"/>
                <w:sz w:val="22"/>
                <w:szCs w:val="22"/>
              </w:rPr>
              <w:t>Acceptance Certificate</w:t>
            </w:r>
            <w:r>
              <w:rPr>
                <w:rFonts w:cs="Arial" w:ascii="Arial" w:hAnsi="Arial"/>
                <w:sz w:val="22"/>
                <w:szCs w:val="22"/>
                <w:lang w:val="en-GB"/>
              </w:rPr>
              <w:t>by the Procuring Entity, including any warranty obligations as stated under GCC Clause 31 and, the Procuring Entity shall not make any claim under the security, except for amounts to which the Procuring Entity is entitled under this Contract..</w:t>
            </w:r>
          </w:p>
        </w:tc>
      </w:tr>
      <w:tr>
        <w:trPr/>
        <w:tc>
          <w:tcPr>
            <w:tcW w:w="2052" w:type="dxa"/>
            <w:tcBorders/>
            <w:shd w:color="auto" w:fill="auto" w:val="clear"/>
          </w:tcPr>
          <w:p>
            <w:pPr>
              <w:pStyle w:val="Heading4"/>
              <w:widowControl w:val="false"/>
              <w:spacing w:before="120" w:after="120"/>
              <w:ind w:left="252" w:hanging="0"/>
              <w:jc w:val="both"/>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127"/>
              </w:numPr>
              <w:spacing w:before="120" w:after="80"/>
              <w:ind w:left="540" w:hanging="540"/>
              <w:rPr>
                <w:rFonts w:ascii="Arial" w:hAnsi="Arial" w:cs="Arial"/>
                <w:sz w:val="22"/>
                <w:szCs w:val="22"/>
                <w:lang w:val="en-GB"/>
              </w:rPr>
            </w:pPr>
            <w:r>
              <w:rPr>
                <w:rFonts w:cs="Arial" w:ascii="Arial" w:hAnsi="Arial"/>
                <w:sz w:val="22"/>
                <w:szCs w:val="22"/>
                <w:lang w:val="en-GB"/>
              </w:rPr>
              <w:t xml:space="preserve">The security shall only be released after the expiry of the Warranty Period pursuant to GCC Clause </w:t>
            </w:r>
            <w:r>
              <w:rPr>
                <w:rFonts w:cs="Arial" w:ascii="Arial" w:hAnsi="Arial"/>
                <w:sz w:val="22"/>
                <w:szCs w:val="22"/>
                <w:highlight w:val="yellow"/>
                <w:lang w:val="en-GB"/>
              </w:rPr>
              <w:t>3</w:t>
            </w:r>
            <w:r>
              <w:rPr>
                <w:rFonts w:cs="Arial" w:ascii="Arial" w:hAnsi="Arial"/>
                <w:sz w:val="22"/>
                <w:szCs w:val="22"/>
                <w:lang w:val="en-GB"/>
              </w:rPr>
              <w:t>1, provided that the Goods supplied are free from patent and latent defects and all the conditions imposed under the contract have been fully met.</w:t>
            </w:r>
          </w:p>
          <w:p>
            <w:pPr>
              <w:pStyle w:val="SubClauseText"/>
              <w:widowControl w:val="false"/>
              <w:numPr>
                <w:ilvl w:val="1"/>
                <w:numId w:val="9"/>
              </w:numPr>
              <w:tabs>
                <w:tab w:val="clear" w:pos="720"/>
                <w:tab w:val="left" w:pos="1062" w:leader="none"/>
              </w:tabs>
              <w:spacing w:before="120" w:after="80"/>
              <w:ind w:left="1062" w:hanging="495"/>
              <w:rPr>
                <w:rFonts w:ascii="Arial" w:hAnsi="Arial" w:cs="Arial"/>
                <w:sz w:val="18"/>
                <w:szCs w:val="18"/>
                <w:lang w:val="en-GB"/>
              </w:rPr>
            </w:pPr>
            <w:r>
              <w:rPr>
                <w:rFonts w:cs="Arial" w:ascii="Arial" w:hAnsi="Arial"/>
                <w:sz w:val="18"/>
                <w:szCs w:val="18"/>
                <w:lang w:val="en-GB"/>
              </w:rPr>
              <w:t>A patent defect, which is one that is apparent to the buyer on normal observation. It is an apparent or obvious defect.</w:t>
            </w:r>
          </w:p>
          <w:p>
            <w:pPr>
              <w:pStyle w:val="SubClauseText"/>
              <w:widowControl w:val="false"/>
              <w:numPr>
                <w:ilvl w:val="2"/>
                <w:numId w:val="9"/>
              </w:numPr>
              <w:tabs>
                <w:tab w:val="clear" w:pos="720"/>
                <w:tab w:val="left" w:pos="1422" w:leader="none"/>
              </w:tabs>
              <w:spacing w:before="120" w:after="80"/>
              <w:ind w:left="1422" w:hanging="360"/>
              <w:rPr>
                <w:rFonts w:ascii="Arial" w:hAnsi="Arial" w:cs="Arial"/>
                <w:sz w:val="18"/>
                <w:szCs w:val="18"/>
                <w:lang w:val="en-GB"/>
              </w:rPr>
            </w:pPr>
            <w:r>
              <w:rPr>
                <w:rFonts w:cs="Arial" w:ascii="Arial" w:hAnsi="Arial"/>
                <w:sz w:val="18"/>
                <w:szCs w:val="18"/>
                <w:lang w:val="en-GB"/>
              </w:rPr>
              <w:t>For example, a ball pen that does not write is patently defective.</w:t>
            </w:r>
          </w:p>
          <w:p>
            <w:pPr>
              <w:pStyle w:val="SubClauseText"/>
              <w:widowControl w:val="false"/>
              <w:numPr>
                <w:ilvl w:val="1"/>
                <w:numId w:val="9"/>
              </w:numPr>
              <w:tabs>
                <w:tab w:val="clear" w:pos="720"/>
                <w:tab w:val="left" w:pos="1062" w:leader="none"/>
              </w:tabs>
              <w:spacing w:before="120" w:after="80"/>
              <w:ind w:left="1062" w:hanging="495"/>
              <w:rPr>
                <w:rFonts w:ascii="Arial" w:hAnsi="Arial" w:cs="Arial"/>
                <w:sz w:val="18"/>
                <w:szCs w:val="18"/>
                <w:lang w:val="en-GB"/>
              </w:rPr>
            </w:pPr>
            <w:r>
              <w:rPr>
                <w:rFonts w:cs="Arial" w:ascii="Arial" w:hAnsi="Arial"/>
                <w:sz w:val="18"/>
                <w:szCs w:val="18"/>
                <w:lang w:val="en-GB"/>
              </w:rPr>
              <w:t>A latent defect, which is one that is not apparent to the buyer by reasonable observation. A latent defect is “hidden” or one that is not immediately determinable.</w:t>
            </w:r>
          </w:p>
          <w:p>
            <w:pPr>
              <w:pStyle w:val="SubClauseText"/>
              <w:widowControl w:val="false"/>
              <w:tabs>
                <w:tab w:val="clear" w:pos="720"/>
                <w:tab w:val="left" w:pos="1422" w:leader="none"/>
              </w:tabs>
              <w:spacing w:before="120" w:after="80"/>
              <w:ind w:left="1422" w:hanging="360"/>
              <w:rPr>
                <w:rFonts w:ascii="Arial" w:hAnsi="Arial" w:cs="Arial"/>
                <w:sz w:val="22"/>
                <w:szCs w:val="22"/>
                <w:lang w:val="en-GB"/>
              </w:rPr>
            </w:pPr>
            <w:r>
              <w:rPr>
                <w:rFonts w:cs="Arial" w:ascii="Arial" w:hAnsi="Arial"/>
                <w:sz w:val="18"/>
                <w:szCs w:val="18"/>
                <w:lang w:val="en-GB"/>
              </w:rPr>
              <w:t>ii.   For example, a ball pen that writes 0.75 km instead of the expected 1.5 km, has a latent defect.</w:t>
            </w:r>
          </w:p>
        </w:tc>
      </w:tr>
      <w:tr>
        <w:trPr/>
        <w:tc>
          <w:tcPr>
            <w:tcW w:w="2052" w:type="dxa"/>
            <w:tcBorders/>
            <w:shd w:color="auto" w:fill="auto" w:val="clear"/>
          </w:tcPr>
          <w:p>
            <w:pPr>
              <w:pStyle w:val="Heading4"/>
              <w:widowControl w:val="false"/>
              <w:spacing w:before="120" w:after="120"/>
              <w:ind w:left="252" w:hanging="0"/>
              <w:jc w:val="both"/>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127"/>
              </w:numPr>
              <w:tabs>
                <w:tab w:val="clear" w:pos="720"/>
                <w:tab w:val="left" w:pos="0" w:leader="none"/>
              </w:tabs>
              <w:spacing w:before="120" w:after="80"/>
              <w:ind w:left="612" w:hanging="612"/>
              <w:rPr>
                <w:rFonts w:ascii="Arial" w:hAnsi="Arial" w:cs="Arial"/>
                <w:sz w:val="22"/>
                <w:szCs w:val="22"/>
                <w:lang w:val="en-GB"/>
              </w:rPr>
            </w:pPr>
            <w:r>
              <w:rPr>
                <w:rFonts w:cs="Arial" w:ascii="Arial" w:hAnsi="Arial"/>
                <w:sz w:val="22"/>
                <w:szCs w:val="22"/>
                <w:lang w:val="en-GB"/>
              </w:rPr>
              <w:t xml:space="preserve">If the Supplier, having been notified, fails to remedy the defect(s) within the period as stated under </w:t>
            </w:r>
            <w:hyperlink w:anchor="scc15_5">
              <w:r>
                <w:rPr>
                  <w:rFonts w:cs="Arial" w:ascii="Arial" w:hAnsi="Arial"/>
                  <w:sz w:val="22"/>
                  <w:szCs w:val="22"/>
                  <w:lang w:val="en-GB"/>
                </w:rPr>
                <w:t>GCC</w:t>
              </w:r>
            </w:hyperlink>
            <w:r>
              <w:rPr>
                <w:rFonts w:cs="Arial" w:ascii="Arial" w:hAnsi="Arial"/>
                <w:sz w:val="22"/>
                <w:szCs w:val="22"/>
                <w:lang w:val="en-GB"/>
              </w:rPr>
              <w:t xml:space="preserve"> Sub Clause 31.7, the Procuring Entity may proceed to call upon the security without prejudice to any other rights which the Procuring Entity may have against the Supplier under the Contract and under the applicable law.</w:t>
            </w:r>
          </w:p>
        </w:tc>
      </w:tr>
      <w:tr>
        <w:trPr>
          <w:trHeight w:val="1062" w:hRule="atLeast"/>
        </w:trPr>
        <w:tc>
          <w:tcPr>
            <w:tcW w:w="2052" w:type="dxa"/>
            <w:vMerge w:val="restart"/>
            <w:tcBorders/>
            <w:shd w:color="auto" w:fill="auto" w:val="clear"/>
          </w:tcPr>
          <w:p>
            <w:pPr>
              <w:pStyle w:val="Normal"/>
              <w:widowControl w:val="false"/>
              <w:numPr>
                <w:ilvl w:val="0"/>
                <w:numId w:val="95"/>
              </w:numPr>
              <w:tabs>
                <w:tab w:val="clear" w:pos="720"/>
                <w:tab w:val="left" w:pos="369" w:leader="none"/>
              </w:tabs>
              <w:spacing w:before="120" w:after="0"/>
              <w:ind w:left="414" w:hanging="342"/>
              <w:outlineLvl w:val="2"/>
              <w:rPr>
                <w:rStyle w:val="Heading3Char"/>
                <w:rFonts w:ascii="Arial" w:hAnsi="Arial"/>
                <w:b/>
                <w:b/>
                <w:bCs w:val="false"/>
                <w:sz w:val="22"/>
                <w:szCs w:val="22"/>
              </w:rPr>
            </w:pPr>
            <w:bookmarkStart w:id="667" w:name="_Toc35418460"/>
            <w:bookmarkStart w:id="668" w:name="_Toc49569859"/>
            <w:bookmarkStart w:id="669" w:name="_Toc49591769"/>
            <w:bookmarkStart w:id="670" w:name="_Toc49504839"/>
            <w:bookmarkStart w:id="671" w:name="_Toc49504721"/>
            <w:bookmarkStart w:id="672" w:name="_Toc49504288"/>
            <w:bookmarkStart w:id="673" w:name="_Toc37234130"/>
            <w:bookmarkStart w:id="674" w:name="_Toc421454307"/>
            <w:bookmarkStart w:id="675" w:name="_Toc49591421"/>
            <w:r>
              <w:rPr>
                <w:rStyle w:val="Heading3Char"/>
                <w:rFonts w:ascii="Arial" w:hAnsi="Arial"/>
                <w:b/>
                <w:bCs w:val="false"/>
                <w:sz w:val="20"/>
                <w:szCs w:val="21"/>
              </w:rPr>
              <w:t>Specifications</w:t>
            </w:r>
            <w:r>
              <w:rPr>
                <w:rStyle w:val="Heading3Char"/>
                <w:rFonts w:ascii="Arial" w:hAnsi="Arial"/>
                <w:b/>
                <w:bCs w:val="false"/>
                <w:sz w:val="22"/>
                <w:szCs w:val="22"/>
              </w:rPr>
              <w:t xml:space="preserve"> and Standards</w:t>
            </w:r>
            <w:bookmarkEnd w:id="667"/>
            <w:bookmarkEnd w:id="668"/>
            <w:bookmarkEnd w:id="669"/>
            <w:bookmarkEnd w:id="670"/>
            <w:bookmarkEnd w:id="671"/>
            <w:bookmarkEnd w:id="672"/>
            <w:bookmarkEnd w:id="673"/>
            <w:bookmarkEnd w:id="674"/>
            <w:bookmarkEnd w:id="675"/>
          </w:p>
        </w:tc>
        <w:tc>
          <w:tcPr>
            <w:tcW w:w="7559" w:type="dxa"/>
            <w:tcBorders/>
          </w:tcPr>
          <w:p>
            <w:pPr>
              <w:pStyle w:val="SubClauseText"/>
              <w:widowControl w:val="false"/>
              <w:numPr>
                <w:ilvl w:val="0"/>
                <w:numId w:val="96"/>
              </w:numPr>
              <w:spacing w:before="120" w:after="80"/>
              <w:ind w:left="540" w:hanging="540"/>
              <w:rPr>
                <w:sz w:val="22"/>
                <w:szCs w:val="22"/>
                <w:lang w:val="en-GB"/>
              </w:rPr>
            </w:pPr>
            <w:bookmarkStart w:id="676" w:name="_Toc204572186"/>
            <w:bookmarkStart w:id="677" w:name="_Toc49412079"/>
            <w:bookmarkStart w:id="678" w:name="_Toc49406317"/>
            <w:bookmarkStart w:id="679" w:name="_Toc204507893"/>
            <w:r>
              <w:rPr>
                <w:rFonts w:ascii="Arial" w:hAnsi="Arial"/>
                <w:bCs/>
                <w:sz w:val="22"/>
                <w:szCs w:val="22"/>
                <w:lang w:val="en-GB" w:eastAsia="zh-CN"/>
              </w:rPr>
              <w:t>The Goods and related services supplied under this Contract shall conform to the technical specifications and standards mentioned in Section 7, Technical Specification and in Section 8, Drawings, if any.</w:t>
            </w:r>
            <w:bookmarkStart w:id="680" w:name="_Toc204507894"/>
            <w:bookmarkStart w:id="681" w:name="_Toc204572187"/>
            <w:bookmarkEnd w:id="676"/>
            <w:bookmarkEnd w:id="677"/>
            <w:bookmarkEnd w:id="678"/>
            <w:bookmarkEnd w:id="679"/>
            <w:bookmarkEnd w:id="680"/>
            <w:bookmarkEnd w:id="681"/>
          </w:p>
        </w:tc>
      </w:tr>
      <w:tr>
        <w:trPr/>
        <w:tc>
          <w:tcPr>
            <w:tcW w:w="205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96"/>
              </w:numPr>
              <w:tabs>
                <w:tab w:val="clear" w:pos="720"/>
              </w:tabs>
              <w:spacing w:before="120" w:after="80"/>
              <w:ind w:left="603" w:hanging="585"/>
              <w:rPr>
                <w:rFonts w:ascii="Arial" w:hAnsi="Arial" w:cs="Arial"/>
                <w:sz w:val="22"/>
                <w:szCs w:val="22"/>
                <w:lang w:val="en-GB"/>
              </w:rPr>
            </w:pPr>
            <w:bookmarkStart w:id="682" w:name="_Toc204507895"/>
            <w:bookmarkStart w:id="683" w:name="_Toc204572188"/>
            <w:r>
              <w:rPr>
                <w:rFonts w:cs="Arial" w:ascii="Arial" w:hAnsi="Arial"/>
                <w:sz w:val="22"/>
                <w:szCs w:val="22"/>
                <w:lang w:val="en-GB"/>
              </w:rPr>
              <w:t>If there is no applicable standard, the Goods must conform to the authoritative standards appropriate to the Good’s country of origin. Such standards must be the latest issued by the concerned institution.</w:t>
            </w:r>
            <w:bookmarkEnd w:id="682"/>
            <w:bookmarkEnd w:id="683"/>
          </w:p>
        </w:tc>
      </w:tr>
      <w:tr>
        <w:trPr/>
        <w:tc>
          <w:tcPr>
            <w:tcW w:w="205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96"/>
              </w:numPr>
              <w:tabs>
                <w:tab w:val="clear" w:pos="720"/>
              </w:tabs>
              <w:spacing w:before="120" w:after="80"/>
              <w:ind w:left="603" w:hanging="585"/>
              <w:rPr>
                <w:rFonts w:ascii="Arial" w:hAnsi="Arial" w:cs="Arial"/>
                <w:sz w:val="22"/>
                <w:szCs w:val="22"/>
                <w:lang w:val="en-GB"/>
              </w:rPr>
            </w:pPr>
            <w:bookmarkStart w:id="684" w:name="_Toc49412080"/>
            <w:bookmarkStart w:id="685" w:name="_Toc204572189"/>
            <w:bookmarkStart w:id="686" w:name="_Toc204507896"/>
            <w:bookmarkStart w:id="687" w:name="_Toc49406318"/>
            <w:r>
              <w:rPr>
                <w:rFonts w:cs="Arial" w:ascii="Arial" w:hAnsi="Arial"/>
                <w:sz w:val="22"/>
                <w:szCs w:val="22"/>
                <w:lang w:val="en-GB"/>
              </w:rPr>
              <w:t>Subject to the GCC Clause 18, the Supplier shall be entitled to disclaim responsibility for any design, data, drawing, specification or other document, or any modification thereof provided or designed by or on behalf of the Procuring Entity, by giving a notice of such disclaimer to the Procuring Entity.</w:t>
            </w:r>
            <w:bookmarkEnd w:id="684"/>
            <w:bookmarkEnd w:id="685"/>
            <w:bookmarkEnd w:id="686"/>
            <w:bookmarkEnd w:id="687"/>
          </w:p>
        </w:tc>
      </w:tr>
      <w:tr>
        <w:trPr/>
        <w:tc>
          <w:tcPr>
            <w:tcW w:w="205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96"/>
              </w:numPr>
              <w:tabs>
                <w:tab w:val="clear" w:pos="720"/>
              </w:tabs>
              <w:spacing w:before="120" w:after="80"/>
              <w:ind w:left="603" w:hanging="585"/>
              <w:rPr>
                <w:rFonts w:ascii="Arial" w:hAnsi="Arial" w:cs="Arial"/>
                <w:sz w:val="22"/>
                <w:szCs w:val="22"/>
                <w:lang w:val="en-GB"/>
              </w:rPr>
            </w:pPr>
            <w:bookmarkStart w:id="688" w:name="_Toc49406320"/>
            <w:bookmarkStart w:id="689" w:name="_Toc204572190"/>
            <w:bookmarkStart w:id="690" w:name="_Toc49412082"/>
            <w:bookmarkStart w:id="691" w:name="_Toc204507897"/>
            <w:r>
              <w:rPr>
                <w:rFonts w:cs="Arial" w:ascii="Arial" w:hAnsi="Arial"/>
                <w:sz w:val="22"/>
                <w:szCs w:val="22"/>
                <w:lang w:val="en-GB"/>
              </w:rPr>
              <w:t>Wherever references are made in the Contract to codes and standards in accordance with which it shall be executed, the edition or the revised version of such codes and standards shall be those specified in the Technical Specification. During Contract execution, any changes in any such codes and standards shall be applied only after approval by the Procuring Entity and shall be treated under GCC Clause 18.</w:t>
            </w:r>
            <w:bookmarkEnd w:id="688"/>
            <w:bookmarkEnd w:id="689"/>
            <w:bookmarkEnd w:id="690"/>
            <w:bookmarkEnd w:id="691"/>
          </w:p>
        </w:tc>
      </w:tr>
      <w:tr>
        <w:trPr/>
        <w:tc>
          <w:tcPr>
            <w:tcW w:w="2052" w:type="dxa"/>
            <w:vMerge w:val="restart"/>
            <w:tcBorders/>
            <w:shd w:color="auto" w:fill="auto" w:val="clear"/>
          </w:tcPr>
          <w:p>
            <w:pPr>
              <w:pStyle w:val="Normal"/>
              <w:widowControl w:val="false"/>
              <w:numPr>
                <w:ilvl w:val="0"/>
                <w:numId w:val="95"/>
              </w:numPr>
              <w:tabs>
                <w:tab w:val="clear" w:pos="720"/>
                <w:tab w:val="left" w:pos="369" w:leader="none"/>
              </w:tabs>
              <w:spacing w:before="120" w:after="0"/>
              <w:ind w:left="414" w:hanging="342"/>
              <w:outlineLvl w:val="2"/>
              <w:rPr>
                <w:rStyle w:val="Heading3Char"/>
                <w:rFonts w:ascii="Arial" w:hAnsi="Arial"/>
                <w:b/>
                <w:b/>
                <w:bCs w:val="false"/>
                <w:sz w:val="22"/>
                <w:szCs w:val="22"/>
              </w:rPr>
            </w:pPr>
            <w:bookmarkStart w:id="692" w:name="_Toc49504289"/>
            <w:bookmarkStart w:id="693" w:name="_Toc49504722"/>
            <w:bookmarkStart w:id="694" w:name="_Toc421454308"/>
            <w:bookmarkStart w:id="695" w:name="_Toc49591422"/>
            <w:bookmarkStart w:id="696" w:name="_Toc37234133"/>
            <w:bookmarkStart w:id="697" w:name="_Toc35418463"/>
            <w:bookmarkStart w:id="698" w:name="_Toc49591770"/>
            <w:bookmarkStart w:id="699" w:name="_Toc49504840"/>
            <w:bookmarkStart w:id="700" w:name="_Toc49569860"/>
            <w:r>
              <w:rPr>
                <w:rStyle w:val="Heading3Char"/>
                <w:rFonts w:ascii="Arial" w:hAnsi="Arial"/>
                <w:b/>
                <w:bCs w:val="false"/>
                <w:sz w:val="22"/>
                <w:szCs w:val="22"/>
              </w:rPr>
              <w:t>Inspections and Tests</w:t>
            </w:r>
            <w:bookmarkEnd w:id="692"/>
            <w:bookmarkEnd w:id="693"/>
            <w:bookmarkEnd w:id="694"/>
            <w:bookmarkEnd w:id="695"/>
            <w:bookmarkEnd w:id="696"/>
            <w:bookmarkEnd w:id="697"/>
            <w:bookmarkEnd w:id="698"/>
            <w:bookmarkEnd w:id="699"/>
            <w:bookmarkEnd w:id="700"/>
          </w:p>
        </w:tc>
        <w:tc>
          <w:tcPr>
            <w:tcW w:w="7559" w:type="dxa"/>
            <w:tcBorders/>
          </w:tcPr>
          <w:p>
            <w:pPr>
              <w:pStyle w:val="SubClauseText"/>
              <w:widowControl w:val="false"/>
              <w:numPr>
                <w:ilvl w:val="0"/>
                <w:numId w:val="66"/>
              </w:numPr>
              <w:tabs>
                <w:tab w:val="clear" w:pos="720"/>
                <w:tab w:val="left" w:pos="612" w:leader="none"/>
              </w:tabs>
              <w:spacing w:before="80" w:after="80"/>
              <w:ind w:left="612" w:hanging="612"/>
              <w:rPr>
                <w:rFonts w:ascii="Arial" w:hAnsi="Arial" w:cs="Arial"/>
                <w:sz w:val="22"/>
                <w:szCs w:val="22"/>
                <w:lang w:val="en-GB"/>
              </w:rPr>
            </w:pPr>
            <w:r>
              <w:rPr>
                <w:rFonts w:cs="Arial" w:ascii="Arial" w:hAnsi="Arial"/>
                <w:sz w:val="22"/>
                <w:szCs w:val="22"/>
                <w:lang w:val="en-GB"/>
              </w:rPr>
              <w:t xml:space="preserve">The Procuring Entity shall have the right to test the Goods to confirm their conformity to the Contract specifications. The </w:t>
            </w:r>
            <w:r>
              <w:rPr>
                <w:rFonts w:cs="Arial" w:ascii="Arial" w:hAnsi="Arial"/>
                <w:b/>
                <w:sz w:val="22"/>
                <w:szCs w:val="22"/>
                <w:lang w:val="en-GB"/>
              </w:rPr>
              <w:t>PCC</w:t>
            </w:r>
            <w:r>
              <w:rPr>
                <w:rFonts w:cs="Arial" w:ascii="Arial" w:hAnsi="Arial"/>
                <w:sz w:val="22"/>
                <w:szCs w:val="22"/>
                <w:lang w:val="en-GB"/>
              </w:rPr>
              <w:t xml:space="preserve"> and Technical specifications shall specify what tests the Procuring Entity requires and where they are to be conducted. The Supplier shall at its own expense and at no cost to the Procuring Entity, carry out all such tests of the Goods and related services as are specified in the Contract.</w:t>
            </w:r>
          </w:p>
        </w:tc>
      </w:tr>
      <w:tr>
        <w:trPr/>
        <w:tc>
          <w:tcPr>
            <w:tcW w:w="205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66"/>
              </w:numPr>
              <w:tabs>
                <w:tab w:val="clear" w:pos="720"/>
              </w:tabs>
              <w:spacing w:before="80" w:after="80"/>
              <w:ind w:left="585" w:hanging="576"/>
              <w:rPr>
                <w:rFonts w:ascii="Arial" w:hAnsi="Arial" w:cs="Arial"/>
                <w:sz w:val="22"/>
                <w:szCs w:val="22"/>
                <w:lang w:val="en-GB"/>
              </w:rPr>
            </w:pPr>
            <w:r>
              <w:rPr>
                <w:rFonts w:cs="Arial" w:ascii="Arial" w:hAnsi="Arial"/>
                <w:sz w:val="22"/>
                <w:szCs w:val="22"/>
                <w:lang w:val="en-GB"/>
              </w:rPr>
              <w:t>The Supplier shall provide the Procuring Entity with a report of the results of any such test.</w:t>
            </w:r>
          </w:p>
        </w:tc>
      </w:tr>
      <w:tr>
        <w:trPr/>
        <w:tc>
          <w:tcPr>
            <w:tcW w:w="205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66"/>
              </w:numPr>
              <w:tabs>
                <w:tab w:val="clear" w:pos="720"/>
              </w:tabs>
              <w:spacing w:before="80" w:after="80"/>
              <w:ind w:left="585" w:hanging="576"/>
              <w:rPr>
                <w:rFonts w:ascii="Arial" w:hAnsi="Arial" w:cs="Arial"/>
                <w:sz w:val="22"/>
                <w:szCs w:val="22"/>
                <w:lang w:val="en-GB"/>
              </w:rPr>
            </w:pPr>
            <w:r>
              <w:rPr>
                <w:rFonts w:cs="Arial" w:ascii="Arial" w:hAnsi="Arial"/>
                <w:sz w:val="22"/>
                <w:szCs w:val="22"/>
                <w:lang w:val="en-GB"/>
              </w:rPr>
              <w:t>The Procuring Entity may engage external agents for the purpose of conducting inspection of Goods, provided that the Procuring Entity shall bear all of its costs and expenses.</w:t>
            </w:r>
          </w:p>
        </w:tc>
      </w:tr>
      <w:tr>
        <w:trPr/>
        <w:tc>
          <w:tcPr>
            <w:tcW w:w="205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66"/>
              </w:numPr>
              <w:tabs>
                <w:tab w:val="clear" w:pos="720"/>
              </w:tabs>
              <w:spacing w:before="80" w:after="80"/>
              <w:ind w:left="590" w:hanging="576"/>
              <w:rPr>
                <w:rFonts w:ascii="Arial" w:hAnsi="Arial" w:cs="Arial"/>
                <w:sz w:val="22"/>
                <w:szCs w:val="22"/>
                <w:lang w:val="en-GB"/>
              </w:rPr>
            </w:pPr>
            <w:r>
              <w:rPr>
                <w:rFonts w:cs="Arial" w:ascii="Arial" w:hAnsi="Arial"/>
                <w:sz w:val="22"/>
                <w:szCs w:val="22"/>
                <w:lang w:val="en-GB"/>
              </w:rPr>
              <w:t>The Procuring Entity or its designated representative as specified shall be entitled to attend the tests and/or inspections under GCC Clause 30.1, provided that the Procuring Entity shall bear all of its own costs and expenses incurred in connection with such attendance.</w:t>
            </w:r>
          </w:p>
        </w:tc>
      </w:tr>
      <w:tr>
        <w:trPr/>
        <w:tc>
          <w:tcPr>
            <w:tcW w:w="2052" w:type="dxa"/>
            <w:vMerge w:val="restart"/>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66"/>
              </w:numPr>
              <w:tabs>
                <w:tab w:val="clear" w:pos="720"/>
              </w:tabs>
              <w:spacing w:before="80" w:after="80"/>
              <w:ind w:left="590" w:hanging="576"/>
              <w:rPr>
                <w:rFonts w:ascii="Arial" w:hAnsi="Arial" w:cs="Arial"/>
                <w:sz w:val="22"/>
                <w:szCs w:val="22"/>
                <w:lang w:val="en-GB"/>
              </w:rPr>
            </w:pPr>
            <w:r>
              <w:rPr>
                <w:rFonts w:cs="Arial" w:ascii="Arial" w:hAnsi="Arial"/>
                <w:sz w:val="22"/>
                <w:szCs w:val="22"/>
                <w:lang w:val="en-GB"/>
              </w:rPr>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tc>
      </w:tr>
      <w:tr>
        <w:trPr/>
        <w:tc>
          <w:tcPr>
            <w:tcW w:w="205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66"/>
              </w:numPr>
              <w:tabs>
                <w:tab w:val="clear" w:pos="720"/>
              </w:tabs>
              <w:spacing w:before="120" w:after="0"/>
              <w:ind w:left="585" w:hanging="576"/>
              <w:rPr>
                <w:rFonts w:ascii="Arial" w:hAnsi="Arial" w:cs="Arial"/>
                <w:sz w:val="22"/>
                <w:szCs w:val="22"/>
                <w:lang w:val="en-GB"/>
              </w:rPr>
            </w:pPr>
            <w:r>
              <w:rPr>
                <w:rFonts w:cs="Arial" w:ascii="Arial" w:hAnsi="Arial"/>
                <w:sz w:val="22"/>
                <w:szCs w:val="22"/>
                <w:lang w:val="en-GB"/>
              </w:rPr>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 the progress of manufacturing and/or the Supplier’s performance of its other obligations under the Contract, due allowance will be made in respect of the Delivery and Completion Schedule and the other obligations so affected.</w:t>
            </w:r>
          </w:p>
        </w:tc>
      </w:tr>
      <w:tr>
        <w:trPr/>
        <w:tc>
          <w:tcPr>
            <w:tcW w:w="205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66"/>
              </w:numPr>
              <w:tabs>
                <w:tab w:val="clear" w:pos="720"/>
              </w:tabs>
              <w:spacing w:before="120" w:after="0"/>
              <w:ind w:left="585" w:hanging="576"/>
              <w:rPr>
                <w:rFonts w:ascii="Arial" w:hAnsi="Arial" w:cs="Arial"/>
                <w:sz w:val="22"/>
                <w:szCs w:val="22"/>
                <w:lang w:val="en-GB"/>
              </w:rPr>
            </w:pPr>
            <w:r>
              <w:rPr>
                <w:rFonts w:cs="Arial" w:ascii="Arial" w:hAnsi="Arial"/>
                <w:sz w:val="22"/>
                <w:szCs w:val="22"/>
                <w:lang w:val="en-GB"/>
              </w:rPr>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under GCC SubClause 30.5.</w:t>
            </w:r>
          </w:p>
        </w:tc>
      </w:tr>
      <w:tr>
        <w:trPr/>
        <w:tc>
          <w:tcPr>
            <w:tcW w:w="205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66"/>
              </w:numPr>
              <w:tabs>
                <w:tab w:val="clear" w:pos="720"/>
              </w:tabs>
              <w:spacing w:before="120" w:after="0"/>
              <w:ind w:left="585" w:hanging="576"/>
              <w:rPr>
                <w:rFonts w:ascii="Arial" w:hAnsi="Arial" w:cs="Arial"/>
                <w:sz w:val="22"/>
                <w:szCs w:val="22"/>
                <w:lang w:val="en-GB"/>
              </w:rPr>
            </w:pPr>
            <w:r>
              <w:rPr>
                <w:rFonts w:cs="Arial" w:ascii="Arial" w:hAnsi="Arial"/>
                <w:sz w:val="22"/>
                <w:szCs w:val="22"/>
                <w:lang w:val="en-GB"/>
              </w:rPr>
              <w:t>The Supplier agrees that neither the execution of a test and/or inspection of the Goods or any part thereof, nor the attendance by the Procuring Entity or its representative, nor the issue of any report as stated under GCC SubClause 30.2, shall relieve the Supplier from any warranties or other obligations under the Contract.</w:t>
            </w:r>
          </w:p>
        </w:tc>
      </w:tr>
      <w:tr>
        <w:trPr/>
        <w:tc>
          <w:tcPr>
            <w:tcW w:w="2052" w:type="dxa"/>
            <w:vMerge w:val="restart"/>
            <w:tcBorders/>
            <w:shd w:color="auto" w:fill="auto" w:val="clear"/>
          </w:tcPr>
          <w:p>
            <w:pPr>
              <w:pStyle w:val="Normal"/>
              <w:widowControl w:val="false"/>
              <w:numPr>
                <w:ilvl w:val="0"/>
                <w:numId w:val="95"/>
              </w:numPr>
              <w:tabs>
                <w:tab w:val="clear" w:pos="720"/>
                <w:tab w:val="left" w:pos="369" w:leader="none"/>
              </w:tabs>
              <w:spacing w:before="120" w:after="0"/>
              <w:ind w:left="414" w:hanging="342"/>
              <w:outlineLvl w:val="2"/>
              <w:rPr>
                <w:rStyle w:val="Heading3Char"/>
                <w:rFonts w:ascii="Arial" w:hAnsi="Arial"/>
                <w:b/>
                <w:b/>
                <w:bCs w:val="false"/>
                <w:sz w:val="22"/>
                <w:szCs w:val="22"/>
              </w:rPr>
            </w:pPr>
            <w:bookmarkStart w:id="701" w:name="_Toc49569861"/>
            <w:bookmarkStart w:id="702" w:name="_Toc49504290"/>
            <w:bookmarkStart w:id="703" w:name="_Toc49591771"/>
            <w:bookmarkStart w:id="704" w:name="_Toc49504723"/>
            <w:bookmarkStart w:id="705" w:name="_Toc49504841"/>
            <w:bookmarkStart w:id="706" w:name="_Toc49591423"/>
            <w:bookmarkStart w:id="707" w:name="_Toc421454309"/>
            <w:r>
              <w:rPr>
                <w:rStyle w:val="Heading3Char"/>
                <w:rFonts w:ascii="Arial" w:hAnsi="Arial"/>
                <w:b/>
                <w:bCs w:val="false"/>
                <w:sz w:val="22"/>
                <w:szCs w:val="22"/>
              </w:rPr>
              <w:t>Warranty</w:t>
            </w:r>
            <w:bookmarkEnd w:id="701"/>
            <w:bookmarkEnd w:id="702"/>
            <w:bookmarkEnd w:id="703"/>
            <w:bookmarkEnd w:id="704"/>
            <w:bookmarkEnd w:id="705"/>
            <w:bookmarkEnd w:id="706"/>
            <w:bookmarkEnd w:id="707"/>
          </w:p>
        </w:tc>
        <w:tc>
          <w:tcPr>
            <w:tcW w:w="7559" w:type="dxa"/>
            <w:tcBorders/>
          </w:tcPr>
          <w:p>
            <w:pPr>
              <w:pStyle w:val="SubClauseText"/>
              <w:widowControl w:val="false"/>
              <w:numPr>
                <w:ilvl w:val="0"/>
                <w:numId w:val="128"/>
              </w:numPr>
              <w:spacing w:before="120" w:after="0"/>
              <w:ind w:left="720" w:hanging="720"/>
              <w:rPr>
                <w:rFonts w:ascii="Arial" w:hAnsi="Arial" w:cs="Arial"/>
                <w:sz w:val="22"/>
                <w:szCs w:val="22"/>
                <w:lang w:val="en-GB"/>
              </w:rPr>
            </w:pPr>
            <w:r>
              <w:rPr>
                <w:rFonts w:cs="Arial" w:ascii="Arial" w:hAnsi="Arial"/>
                <w:sz w:val="22"/>
                <w:szCs w:val="22"/>
                <w:lang w:val="en-GB"/>
              </w:rPr>
              <w:t>The Supplier warrants that all the Goods supplied under the Contract are new, unused, and of the most recent or current models, and that they incorporate all recent improvements in design and materials, except when the design and/or material required by the Procuring Entity provides otherwise under GCC Clause 18.</w:t>
            </w:r>
          </w:p>
        </w:tc>
      </w:tr>
      <w:tr>
        <w:trPr/>
        <w:tc>
          <w:tcPr>
            <w:tcW w:w="205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128"/>
              </w:numPr>
              <w:spacing w:before="120" w:after="0"/>
              <w:ind w:left="720" w:hanging="720"/>
              <w:rPr>
                <w:rFonts w:ascii="Arial" w:hAnsi="Arial" w:cs="Arial"/>
                <w:sz w:val="22"/>
                <w:szCs w:val="22"/>
                <w:lang w:val="en-GB"/>
              </w:rPr>
            </w:pPr>
            <w:r>
              <w:rPr>
                <w:rFonts w:cs="Arial" w:ascii="Arial" w:hAnsi="Arial"/>
                <w:sz w:val="22"/>
                <w:szCs w:val="22"/>
                <w:lang w:val="en-GB"/>
              </w:rPr>
              <w:t>The Supplier further warrants thatall Goods supplied under this Contract shall have no defect, arising from design, materials, or workmanship or from any act or omission of the Supplier that may develop under normal use of the supplied Goods in the conditions prevailing in Bangladesh.</w:t>
            </w:r>
          </w:p>
        </w:tc>
      </w:tr>
      <w:tr>
        <w:trPr/>
        <w:tc>
          <w:tcPr>
            <w:tcW w:w="205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128"/>
              </w:numPr>
              <w:spacing w:before="120" w:after="0"/>
              <w:ind w:left="720" w:hanging="720"/>
              <w:rPr>
                <w:rFonts w:ascii="Arial" w:hAnsi="Arial" w:cs="Arial"/>
                <w:sz w:val="22"/>
                <w:szCs w:val="22"/>
                <w:lang w:val="en-GB"/>
              </w:rPr>
            </w:pPr>
            <w:r>
              <w:rPr>
                <w:rFonts w:cs="Arial" w:ascii="Arial" w:hAnsi="Arial"/>
                <w:sz w:val="22"/>
                <w:szCs w:val="22"/>
                <w:lang w:val="en-GB"/>
              </w:rPr>
              <w:t xml:space="preserve">In order to assure that manufacturing defects shall be corrected by the Supplier, manufacturer, or distributor, as the case may be, a warranty shall be required from the Supplier for a minimum period of three (3) months, in the case of supplies, and one (1) year, in the case of equipment, after performance of the contract or such other  period as may be specified in the </w:t>
            </w:r>
            <w:hyperlink w:anchor="scc15_3">
              <w:r>
                <w:rPr>
                  <w:rFonts w:cs="Arial" w:ascii="Arial" w:hAnsi="Arial"/>
                  <w:b/>
                  <w:sz w:val="22"/>
                  <w:szCs w:val="22"/>
                  <w:lang w:val="en-GB"/>
                </w:rPr>
                <w:t>PCC</w:t>
              </w:r>
            </w:hyperlink>
            <w:r>
              <w:rPr>
                <w:rFonts w:cs="Arial" w:ascii="Arial" w:hAnsi="Arial"/>
                <w:sz w:val="22"/>
                <w:szCs w:val="22"/>
                <w:lang w:val="en-GB"/>
              </w:rPr>
              <w:t>.</w:t>
            </w:r>
          </w:p>
        </w:tc>
      </w:tr>
      <w:tr>
        <w:trPr/>
        <w:tc>
          <w:tcPr>
            <w:tcW w:w="2052" w:type="dxa"/>
            <w:vMerge w:val="continue"/>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0"/>
                <w:numId w:val="128"/>
              </w:numPr>
              <w:spacing w:before="120" w:after="0"/>
              <w:ind w:left="720" w:hanging="720"/>
              <w:rPr>
                <w:rFonts w:ascii="Arial" w:hAnsi="Arial" w:cs="Arial"/>
                <w:sz w:val="22"/>
                <w:szCs w:val="22"/>
                <w:lang w:val="en-GB"/>
              </w:rPr>
            </w:pPr>
            <w:r>
              <w:rPr>
                <w:rFonts w:cs="Arial" w:ascii="Arial" w:hAnsi="Arial"/>
                <w:sz w:val="22"/>
                <w:szCs w:val="22"/>
                <w:lang w:val="en-GB"/>
              </w:rPr>
              <w:t>The Warranty Period of the Supplies shall start from the date of completion of delivery in the form of submission by the Supplier and acceptance by the Procuring Entity, of the Delivery Chalan</w:t>
            </w:r>
          </w:p>
        </w:tc>
      </w:tr>
      <w:tr>
        <w:trPr/>
        <w:tc>
          <w:tcPr>
            <w:tcW w:w="2052" w:type="dxa"/>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1"/>
                <w:numId w:val="128"/>
              </w:numPr>
              <w:tabs>
                <w:tab w:val="clear" w:pos="720"/>
                <w:tab w:val="left" w:pos="792" w:leader="none"/>
              </w:tabs>
              <w:spacing w:before="120" w:after="0"/>
              <w:ind w:left="792" w:hanging="792"/>
              <w:rPr>
                <w:rFonts w:ascii="Arial" w:hAnsi="Arial" w:cs="Arial"/>
                <w:sz w:val="22"/>
                <w:szCs w:val="22"/>
                <w:lang w:val="en-GB"/>
              </w:rPr>
            </w:pPr>
            <w:r>
              <w:rPr>
                <w:rFonts w:cs="Arial" w:ascii="Arial" w:hAnsi="Arial"/>
                <w:sz w:val="22"/>
                <w:szCs w:val="22"/>
                <w:lang w:val="en-GB"/>
              </w:rPr>
              <w:t>The Warranty Periods may vary among the various items and lots. The warranty for Goods delivered earlier will expire earlier than the succeeding deliveries.</w:t>
            </w:r>
          </w:p>
        </w:tc>
      </w:tr>
      <w:tr>
        <w:trPr/>
        <w:tc>
          <w:tcPr>
            <w:tcW w:w="2052" w:type="dxa"/>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1"/>
                <w:numId w:val="128"/>
              </w:numPr>
              <w:tabs>
                <w:tab w:val="clear" w:pos="720"/>
                <w:tab w:val="left" w:pos="792" w:leader="none"/>
              </w:tabs>
              <w:spacing w:before="120" w:after="0"/>
              <w:ind w:left="792" w:hanging="792"/>
              <w:rPr>
                <w:rFonts w:ascii="Arial" w:hAnsi="Arial" w:cs="Arial"/>
                <w:sz w:val="22"/>
                <w:szCs w:val="22"/>
                <w:lang w:val="en-GB"/>
              </w:rPr>
            </w:pPr>
            <w:r>
              <w:rPr>
                <w:rFonts w:cs="Arial" w:ascii="Arial" w:hAnsi="Arial"/>
                <w:sz w:val="22"/>
                <w:szCs w:val="22"/>
                <w:lang w:val="en-GB"/>
              </w:rPr>
              <w:t>The Procuring Entity shall promptly notify the Supplier in writing of any claims arising under this warranty.</w:t>
            </w:r>
          </w:p>
        </w:tc>
      </w:tr>
      <w:tr>
        <w:trPr/>
        <w:tc>
          <w:tcPr>
            <w:tcW w:w="2052" w:type="dxa"/>
            <w:tcBorders/>
            <w:shd w:color="auto" w:fill="auto" w:val="clear"/>
          </w:tcPr>
          <w:p>
            <w:pPr>
              <w:pStyle w:val="Normal"/>
              <w:widowControl w:val="false"/>
              <w:spacing w:before="60" w:after="60"/>
              <w:rPr>
                <w:rFonts w:ascii="Arial" w:hAnsi="Arial" w:cs="Arial"/>
                <w:sz w:val="21"/>
                <w:szCs w:val="21"/>
                <w:lang w:val="en-GB"/>
              </w:rPr>
            </w:pPr>
            <w:r>
              <w:rPr>
                <w:rFonts w:cs="Arial" w:ascii="Arial" w:hAnsi="Arial"/>
                <w:sz w:val="21"/>
                <w:szCs w:val="21"/>
                <w:lang w:val="en-GB"/>
              </w:rPr>
            </w:r>
          </w:p>
        </w:tc>
        <w:tc>
          <w:tcPr>
            <w:tcW w:w="7559" w:type="dxa"/>
            <w:tcBorders/>
          </w:tcPr>
          <w:p>
            <w:pPr>
              <w:pStyle w:val="SubClauseText"/>
              <w:widowControl w:val="false"/>
              <w:numPr>
                <w:ilvl w:val="1"/>
                <w:numId w:val="128"/>
              </w:numPr>
              <w:tabs>
                <w:tab w:val="clear" w:pos="720"/>
                <w:tab w:val="left" w:pos="792" w:leader="none"/>
              </w:tabs>
              <w:spacing w:before="120" w:after="0"/>
              <w:ind w:left="792" w:hanging="792"/>
              <w:rPr>
                <w:rFonts w:ascii="Arial" w:hAnsi="Arial" w:cs="Arial"/>
                <w:sz w:val="22"/>
                <w:szCs w:val="22"/>
                <w:lang w:val="en-GB"/>
              </w:rPr>
            </w:pPr>
            <w:r>
              <w:rPr>
                <w:rFonts w:cs="Arial" w:ascii="Arial" w:hAnsi="Arial"/>
                <w:sz w:val="22"/>
                <w:szCs w:val="22"/>
                <w:lang w:val="en-GB"/>
              </w:rPr>
              <w:t xml:space="preserve">Upon receipt of such notice, the Supplier shall, within the period specified in the </w:t>
            </w:r>
            <w:r>
              <w:rPr>
                <w:rFonts w:cs="Arial" w:ascii="Arial" w:hAnsi="Arial"/>
                <w:b/>
                <w:sz w:val="22"/>
                <w:szCs w:val="22"/>
                <w:lang w:val="en-GB"/>
              </w:rPr>
              <w:t>PCC</w:t>
            </w:r>
            <w:r>
              <w:rPr>
                <w:rFonts w:cs="Arial" w:ascii="Arial" w:hAnsi="Arial"/>
                <w:sz w:val="22"/>
                <w:szCs w:val="22"/>
                <w:lang w:val="en-GB"/>
              </w:rPr>
              <w:t>, expeditiously repair or replace the defective Goods or parts thereof, at no cost to the Procuring Entity.</w:t>
            </w:r>
          </w:p>
        </w:tc>
      </w:tr>
      <w:tr>
        <w:trPr>
          <w:trHeight w:val="882" w:hRule="atLeast"/>
        </w:trPr>
        <w:tc>
          <w:tcPr>
            <w:tcW w:w="2052" w:type="dxa"/>
            <w:vMerge w:val="restart"/>
            <w:tcBorders/>
            <w:shd w:color="auto" w:fill="auto" w:val="clear"/>
          </w:tcPr>
          <w:p>
            <w:pPr>
              <w:pStyle w:val="Normal"/>
              <w:widowControl w:val="false"/>
              <w:numPr>
                <w:ilvl w:val="0"/>
                <w:numId w:val="95"/>
              </w:numPr>
              <w:tabs>
                <w:tab w:val="clear" w:pos="720"/>
                <w:tab w:val="left" w:pos="369" w:leader="none"/>
              </w:tabs>
              <w:spacing w:before="80" w:after="0"/>
              <w:ind w:left="414" w:hanging="342"/>
              <w:outlineLvl w:val="2"/>
              <w:rPr>
                <w:rStyle w:val="Heading3Char"/>
                <w:rFonts w:ascii="Arial" w:hAnsi="Arial"/>
                <w:b/>
                <w:b/>
                <w:bCs w:val="false"/>
                <w:sz w:val="22"/>
                <w:szCs w:val="22"/>
              </w:rPr>
            </w:pPr>
            <w:bookmarkStart w:id="708" w:name="_Toc338337708"/>
            <w:bookmarkStart w:id="709" w:name="_Toc338337711"/>
            <w:bookmarkStart w:id="710" w:name="_Toc421454310"/>
            <w:bookmarkEnd w:id="708"/>
            <w:bookmarkEnd w:id="709"/>
            <w:r>
              <w:rPr>
                <w:rStyle w:val="Heading3Char"/>
                <w:rFonts w:ascii="Arial" w:hAnsi="Arial"/>
                <w:b/>
                <w:bCs w:val="false"/>
                <w:sz w:val="22"/>
                <w:szCs w:val="22"/>
              </w:rPr>
              <w:t>Extension of  Delivery and Completion Schedule</w:t>
            </w:r>
            <w:bookmarkEnd w:id="710"/>
          </w:p>
        </w:tc>
        <w:tc>
          <w:tcPr>
            <w:tcW w:w="7559" w:type="dxa"/>
            <w:tcBorders/>
          </w:tcPr>
          <w:p>
            <w:pPr>
              <w:pStyle w:val="SubClauseText"/>
              <w:widowControl w:val="false"/>
              <w:numPr>
                <w:ilvl w:val="0"/>
                <w:numId w:val="10"/>
              </w:numPr>
              <w:spacing w:before="80" w:after="0"/>
              <w:rPr>
                <w:rFonts w:ascii="Arial" w:hAnsi="Arial" w:cs="Arial"/>
                <w:sz w:val="22"/>
                <w:szCs w:val="22"/>
                <w:lang w:val="en-GB"/>
              </w:rPr>
            </w:pPr>
            <w:r>
              <w:rPr>
                <w:rFonts w:cs="Arial" w:ascii="Arial" w:hAnsi="Arial"/>
                <w:sz w:val="22"/>
                <w:szCs w:val="22"/>
                <w:lang w:val="en-GB"/>
              </w:rPr>
              <w:t>The Supplier must deliver the Goods or perform the services procured within the period prescribed by the Procuring Entity, as specified in the Contract.</w:t>
            </w:r>
          </w:p>
        </w:tc>
      </w:tr>
      <w:tr>
        <w:trPr>
          <w:trHeight w:val="1440" w:hRule="atLeast"/>
        </w:trPr>
        <w:tc>
          <w:tcPr>
            <w:tcW w:w="2052" w:type="dxa"/>
            <w:vMerge w:val="continue"/>
            <w:tcBorders/>
            <w:shd w:color="auto" w:fill="auto" w:val="clear"/>
          </w:tcPr>
          <w:p>
            <w:pPr>
              <w:pStyle w:val="Normal"/>
              <w:widowControl w:val="false"/>
              <w:numPr>
                <w:ilvl w:val="0"/>
                <w:numId w:val="95"/>
              </w:numPr>
              <w:tabs>
                <w:tab w:val="clear" w:pos="720"/>
                <w:tab w:val="left" w:pos="369" w:leader="none"/>
              </w:tabs>
              <w:spacing w:before="80" w:after="0"/>
              <w:ind w:left="414" w:hanging="342"/>
              <w:outlineLvl w:val="2"/>
              <w:rPr>
                <w:rStyle w:val="Heading3Char"/>
                <w:rFonts w:ascii="Arial" w:hAnsi="Arial"/>
                <w:b/>
                <w:b/>
                <w:bCs w:val="false"/>
                <w:sz w:val="22"/>
                <w:szCs w:val="22"/>
              </w:rPr>
            </w:pPr>
            <w:r>
              <w:rPr>
                <w:rFonts w:ascii="Arial" w:hAnsi="Arial"/>
                <w:b/>
                <w:bCs w:val="false"/>
                <w:sz w:val="22"/>
                <w:szCs w:val="22"/>
              </w:rPr>
            </w:r>
            <w:bookmarkStart w:id="711" w:name="_Toc421454311"/>
            <w:bookmarkStart w:id="712" w:name="_Toc338337719"/>
            <w:bookmarkStart w:id="713" w:name="_Toc421014828"/>
            <w:bookmarkStart w:id="714" w:name="_Toc421454311"/>
            <w:bookmarkStart w:id="715" w:name="_Toc338337719"/>
            <w:bookmarkStart w:id="716" w:name="_Toc421014828"/>
            <w:bookmarkEnd w:id="714"/>
            <w:bookmarkEnd w:id="715"/>
            <w:bookmarkEnd w:id="716"/>
          </w:p>
        </w:tc>
        <w:tc>
          <w:tcPr>
            <w:tcW w:w="7559" w:type="dxa"/>
            <w:tcBorders/>
          </w:tcPr>
          <w:p>
            <w:pPr>
              <w:pStyle w:val="SubClauseText"/>
              <w:widowControl w:val="false"/>
              <w:numPr>
                <w:ilvl w:val="0"/>
                <w:numId w:val="10"/>
              </w:numPr>
              <w:spacing w:before="80" w:after="0"/>
              <w:rPr>
                <w:rFonts w:ascii="Arial" w:hAnsi="Arial" w:cs="Arial"/>
                <w:sz w:val="22"/>
                <w:szCs w:val="22"/>
                <w:lang w:val="en-GB"/>
              </w:rPr>
            </w:pPr>
            <w:r>
              <w:rPr>
                <w:rFonts w:cs="Arial" w:ascii="Arial" w:hAnsi="Arial"/>
                <w:sz w:val="22"/>
                <w:szCs w:val="22"/>
                <w:lang w:val="en-GB"/>
              </w:rPr>
              <w:t>If at any time during performance of the Contract, the Supplier or its subcontractors should encounter conditions impeding timely delivery of the Goods or completion of Related Services as stated under GCC Clause 21, the Supplier shall promptly notify the Procuring Entity in writing. It must state therein the cause/s and duration of the expected delay.  The Procuring Entity shall decide whether and by how much to extend the time. In all cases, the request for extension should be submitted before the lapse of the original delivery date.</w:t>
            </w:r>
          </w:p>
        </w:tc>
      </w:tr>
      <w:tr>
        <w:trPr/>
        <w:tc>
          <w:tcPr>
            <w:tcW w:w="2052" w:type="dxa"/>
            <w:vMerge w:val="continue"/>
            <w:tcBorders/>
            <w:shd w:color="auto" w:fill="auto" w:val="clear"/>
          </w:tcPr>
          <w:p>
            <w:pPr>
              <w:pStyle w:val="Normal"/>
              <w:widowControl w:val="false"/>
              <w:numPr>
                <w:ilvl w:val="0"/>
                <w:numId w:val="95"/>
              </w:numPr>
              <w:tabs>
                <w:tab w:val="clear" w:pos="720"/>
                <w:tab w:val="left" w:pos="369" w:leader="none"/>
              </w:tabs>
              <w:spacing w:before="80" w:after="0"/>
              <w:ind w:left="414" w:hanging="342"/>
              <w:outlineLvl w:val="2"/>
              <w:rPr>
                <w:rStyle w:val="Heading3Char"/>
                <w:rFonts w:ascii="Arial" w:hAnsi="Arial"/>
                <w:b/>
                <w:b/>
                <w:bCs w:val="false"/>
                <w:sz w:val="22"/>
                <w:szCs w:val="22"/>
              </w:rPr>
            </w:pPr>
            <w:r>
              <w:rPr>
                <w:rFonts w:ascii="Arial" w:hAnsi="Arial"/>
                <w:b/>
                <w:bCs w:val="false"/>
                <w:sz w:val="22"/>
                <w:szCs w:val="22"/>
              </w:rPr>
            </w:r>
            <w:bookmarkStart w:id="717" w:name="_Toc421454312"/>
            <w:bookmarkStart w:id="718" w:name="_Toc338337720"/>
            <w:bookmarkStart w:id="719" w:name="_Toc421014829"/>
            <w:bookmarkStart w:id="720" w:name="_Toc421454312"/>
            <w:bookmarkStart w:id="721" w:name="_Toc338337720"/>
            <w:bookmarkStart w:id="722" w:name="_Toc421014829"/>
            <w:bookmarkEnd w:id="720"/>
            <w:bookmarkEnd w:id="721"/>
            <w:bookmarkEnd w:id="722"/>
          </w:p>
        </w:tc>
        <w:tc>
          <w:tcPr>
            <w:tcW w:w="7559" w:type="dxa"/>
            <w:tcBorders/>
          </w:tcPr>
          <w:p>
            <w:pPr>
              <w:pStyle w:val="SubClauseText"/>
              <w:widowControl w:val="false"/>
              <w:numPr>
                <w:ilvl w:val="0"/>
                <w:numId w:val="10"/>
              </w:numPr>
              <w:tabs>
                <w:tab w:val="clear" w:pos="720"/>
                <w:tab w:val="left" w:pos="567" w:leader="none"/>
              </w:tabs>
              <w:spacing w:before="80" w:after="0"/>
              <w:ind w:left="590" w:hanging="576"/>
              <w:rPr>
                <w:rFonts w:ascii="Arial" w:hAnsi="Arial" w:cs="Arial"/>
                <w:sz w:val="22"/>
                <w:szCs w:val="22"/>
                <w:lang w:val="en-GB"/>
              </w:rPr>
            </w:pPr>
            <w:r>
              <w:rPr>
                <w:rFonts w:cs="Arial" w:ascii="Arial" w:hAnsi="Arial"/>
                <w:sz w:val="21"/>
                <w:szCs w:val="21"/>
                <w:lang w:val="en-GB"/>
              </w:rPr>
              <w:t xml:space="preserve"> </w:t>
            </w:r>
            <w:r>
              <w:rPr>
                <w:rFonts w:cs="Arial" w:ascii="Arial" w:hAnsi="Arial"/>
                <w:sz w:val="21"/>
                <w:szCs w:val="21"/>
                <w:lang w:val="en-GB"/>
              </w:rPr>
              <w:t>Within twenty-one (21) days of receipt of the Supplier’s notice, the Procuring Entity shall evaluate the situation and may grant time extensions, if based on justifiable grounds, without liquidated damages.</w:t>
            </w:r>
          </w:p>
        </w:tc>
      </w:tr>
      <w:tr>
        <w:trPr>
          <w:trHeight w:val="1413" w:hRule="atLeast"/>
        </w:trPr>
        <w:tc>
          <w:tcPr>
            <w:tcW w:w="2052" w:type="dxa"/>
            <w:vMerge w:val="continue"/>
            <w:tcBorders/>
            <w:shd w:color="auto" w:fill="auto" w:val="clear"/>
          </w:tcPr>
          <w:p>
            <w:pPr>
              <w:pStyle w:val="Normal"/>
              <w:widowControl w:val="false"/>
              <w:numPr>
                <w:ilvl w:val="0"/>
                <w:numId w:val="95"/>
              </w:numPr>
              <w:tabs>
                <w:tab w:val="clear" w:pos="720"/>
                <w:tab w:val="left" w:pos="369" w:leader="none"/>
              </w:tabs>
              <w:spacing w:before="80" w:after="0"/>
              <w:ind w:left="414" w:hanging="342"/>
              <w:outlineLvl w:val="2"/>
              <w:rPr>
                <w:rStyle w:val="Heading3Char"/>
                <w:rFonts w:ascii="Arial" w:hAnsi="Arial"/>
                <w:b/>
                <w:b/>
                <w:bCs w:val="false"/>
                <w:sz w:val="22"/>
                <w:szCs w:val="22"/>
              </w:rPr>
            </w:pPr>
            <w:r>
              <w:rPr>
                <w:rFonts w:ascii="Arial" w:hAnsi="Arial"/>
                <w:b/>
                <w:bCs w:val="false"/>
                <w:sz w:val="22"/>
                <w:szCs w:val="22"/>
              </w:rPr>
            </w:r>
            <w:bookmarkStart w:id="723" w:name="_Toc338337721"/>
            <w:bookmarkStart w:id="724" w:name="_Toc421014830"/>
            <w:bookmarkStart w:id="725" w:name="_Toc421454313"/>
            <w:bookmarkStart w:id="726" w:name="_Toc338337721"/>
            <w:bookmarkStart w:id="727" w:name="_Toc421014830"/>
            <w:bookmarkStart w:id="728" w:name="_Toc421454313"/>
            <w:bookmarkEnd w:id="726"/>
            <w:bookmarkEnd w:id="727"/>
            <w:bookmarkEnd w:id="728"/>
          </w:p>
        </w:tc>
        <w:tc>
          <w:tcPr>
            <w:tcW w:w="7559" w:type="dxa"/>
            <w:tcBorders/>
          </w:tcPr>
          <w:p>
            <w:pPr>
              <w:pStyle w:val="SubClauseText"/>
              <w:widowControl w:val="false"/>
              <w:numPr>
                <w:ilvl w:val="0"/>
                <w:numId w:val="10"/>
              </w:numPr>
              <w:tabs>
                <w:tab w:val="clear" w:pos="720"/>
                <w:tab w:val="left" w:pos="567" w:leader="none"/>
              </w:tabs>
              <w:spacing w:before="80" w:after="0"/>
              <w:ind w:left="590" w:hanging="576"/>
              <w:rPr>
                <w:rFonts w:ascii="Arial" w:hAnsi="Arial" w:cs="Arial"/>
                <w:sz w:val="22"/>
                <w:szCs w:val="22"/>
                <w:lang w:val="en-GB"/>
              </w:rPr>
            </w:pPr>
            <w:r>
              <w:rPr>
                <w:rFonts w:cs="Arial" w:ascii="Arial" w:hAnsi="Arial"/>
                <w:sz w:val="22"/>
                <w:szCs w:val="22"/>
                <w:lang w:val="en-GB"/>
              </w:rPr>
              <w:t>The Procuring may extend up to twenty percent (20%) of the original contract time, above 20% of the original contract time approval of Head of Procuring Entity (HOPE) or authorized officer shall be required, in which case the extension shall be ratified by the Parties by amendment of the Contract as stated under GCC Clause 41.</w:t>
            </w:r>
          </w:p>
        </w:tc>
      </w:tr>
      <w:tr>
        <w:trPr>
          <w:trHeight w:val="1683" w:hRule="atLeast"/>
        </w:trPr>
        <w:tc>
          <w:tcPr>
            <w:tcW w:w="2052" w:type="dxa"/>
            <w:vMerge w:val="continue"/>
            <w:tcBorders/>
            <w:shd w:color="auto" w:fill="auto" w:val="clear"/>
          </w:tcPr>
          <w:p>
            <w:pPr>
              <w:pStyle w:val="Heading4"/>
              <w:widowControl w:val="false"/>
              <w:spacing w:before="80" w:after="0"/>
              <w:ind w:left="252" w:hanging="0"/>
              <w:jc w:val="both"/>
              <w:rPr>
                <w:rFonts w:ascii="Arial" w:hAnsi="Arial" w:cs="Arial"/>
                <w:sz w:val="21"/>
                <w:szCs w:val="21"/>
                <w:lang w:val="en-GB"/>
              </w:rPr>
            </w:pPr>
            <w:r>
              <w:rPr>
                <w:rFonts w:cs="Arial" w:ascii="Arial" w:hAnsi="Arial"/>
                <w:sz w:val="21"/>
                <w:szCs w:val="21"/>
                <w:lang w:val="en-GB"/>
              </w:rPr>
            </w:r>
            <w:bookmarkStart w:id="729" w:name="_Toc338337722"/>
            <w:bookmarkStart w:id="730" w:name="_Toc338337722"/>
            <w:bookmarkEnd w:id="730"/>
          </w:p>
        </w:tc>
        <w:tc>
          <w:tcPr>
            <w:tcW w:w="7559" w:type="dxa"/>
            <w:tcBorders/>
          </w:tcPr>
          <w:p>
            <w:pPr>
              <w:pStyle w:val="SubClauseText"/>
              <w:widowControl w:val="false"/>
              <w:numPr>
                <w:ilvl w:val="0"/>
                <w:numId w:val="10"/>
              </w:numPr>
              <w:tabs>
                <w:tab w:val="clear" w:pos="720"/>
                <w:tab w:val="left" w:pos="567" w:leader="none"/>
              </w:tabs>
              <w:spacing w:before="80" w:after="0"/>
              <w:ind w:left="590" w:hanging="576"/>
              <w:rPr>
                <w:rFonts w:ascii="Arial" w:hAnsi="Arial" w:cs="Arial"/>
                <w:sz w:val="21"/>
                <w:szCs w:val="21"/>
                <w:lang w:val="en-GB"/>
              </w:rPr>
            </w:pPr>
            <w:r>
              <w:rPr>
                <w:rFonts w:cs="Arial" w:ascii="Arial" w:hAnsi="Arial"/>
                <w:sz w:val="22"/>
                <w:szCs w:val="22"/>
                <w:lang w:val="en-GB"/>
              </w:rPr>
              <w:t>Except in case of Force Majeure, as provided under GCC Clause 36, a delay by the Supplier in the performance of its delivery and completion obligations shall render the Supplier liable to the imposition of Liquidated Damages pursuant to GCC Clause 33, unless an extension of the Delivery and Completion Schedule  is agreed upon, pursuant to GCC Clause 32.</w:t>
            </w:r>
          </w:p>
        </w:tc>
      </w:tr>
      <w:tr>
        <w:trPr/>
        <w:tc>
          <w:tcPr>
            <w:tcW w:w="2052" w:type="dxa"/>
            <w:tcBorders/>
          </w:tcPr>
          <w:p>
            <w:pPr>
              <w:pStyle w:val="Normal"/>
              <w:widowControl w:val="false"/>
              <w:numPr>
                <w:ilvl w:val="0"/>
                <w:numId w:val="95"/>
              </w:numPr>
              <w:tabs>
                <w:tab w:val="clear" w:pos="720"/>
                <w:tab w:val="left" w:pos="369" w:leader="none"/>
              </w:tabs>
              <w:spacing w:before="80" w:after="0"/>
              <w:ind w:left="414" w:hanging="342"/>
              <w:outlineLvl w:val="2"/>
              <w:rPr>
                <w:rStyle w:val="Heading3Char"/>
                <w:rFonts w:ascii="Arial" w:hAnsi="Arial"/>
                <w:b/>
                <w:b/>
                <w:bCs w:val="false"/>
                <w:sz w:val="22"/>
                <w:szCs w:val="22"/>
              </w:rPr>
            </w:pPr>
            <w:bookmarkStart w:id="731" w:name="_Toc421454314"/>
            <w:bookmarkStart w:id="732" w:name="_Toc49504292"/>
            <w:bookmarkStart w:id="733" w:name="_Toc35418464"/>
            <w:bookmarkStart w:id="734" w:name="_Toc37234134"/>
            <w:bookmarkStart w:id="735" w:name="_Toc49504725"/>
            <w:bookmarkStart w:id="736" w:name="_Toc49569863"/>
            <w:bookmarkStart w:id="737" w:name="_Toc49591425"/>
            <w:bookmarkStart w:id="738" w:name="_Toc49591773"/>
            <w:bookmarkStart w:id="739" w:name="_Toc49504843"/>
            <w:r>
              <w:rPr>
                <w:rStyle w:val="Heading3Char"/>
                <w:rFonts w:ascii="Arial" w:hAnsi="Arial"/>
                <w:b/>
                <w:bCs w:val="false"/>
                <w:sz w:val="22"/>
                <w:szCs w:val="22"/>
              </w:rPr>
              <w:t>Liquidated Damages</w:t>
            </w:r>
            <w:bookmarkEnd w:id="731"/>
            <w:bookmarkEnd w:id="732"/>
            <w:bookmarkEnd w:id="733"/>
            <w:bookmarkEnd w:id="734"/>
            <w:bookmarkEnd w:id="735"/>
            <w:bookmarkEnd w:id="736"/>
            <w:bookmarkEnd w:id="737"/>
            <w:bookmarkEnd w:id="738"/>
            <w:bookmarkEnd w:id="739"/>
          </w:p>
        </w:tc>
        <w:tc>
          <w:tcPr>
            <w:tcW w:w="7559" w:type="dxa"/>
            <w:tcBorders/>
          </w:tcPr>
          <w:p>
            <w:pPr>
              <w:pStyle w:val="Normal"/>
              <w:widowControl w:val="false"/>
              <w:numPr>
                <w:ilvl w:val="0"/>
                <w:numId w:val="129"/>
              </w:numPr>
              <w:spacing w:before="80" w:after="0"/>
              <w:jc w:val="both"/>
              <w:rPr>
                <w:rFonts w:ascii="Arial" w:hAnsi="Arial" w:cs="Arial"/>
                <w:sz w:val="22"/>
                <w:szCs w:val="22"/>
                <w:lang w:val="en-GB"/>
              </w:rPr>
            </w:pPr>
            <w:r>
              <w:rPr>
                <w:rFonts w:cs="Arial" w:ascii="Arial" w:hAnsi="Arial"/>
                <w:sz w:val="22"/>
                <w:szCs w:val="22"/>
                <w:lang w:val="en-GB"/>
              </w:rPr>
              <w:t>Except as provided under GCC Sub Clause 37, if the Supplier fails to complete the delivery of Goods and related services within the Delivery and Completion Schedule specified in the contract or as extended, the Procuring Entity shall, as Liquidated Damages or Delay Damages, deduct from the Contract Price, a sum at the percent-rate per day of delay as specified in the PCC, of the contract value of the undelivered Goods and related services or part thereof delivered after the Delivery  and Completion Schedule or as extended. The total amount of Liquidated Damages or Delay Damages shall not exceed the amount specified in the PCC. The Procuring Entity may deduct Liquidated damages from payments due to the Supplier. Payment of Liquidated damages shall not affect the Supplier’s liabilities.</w:t>
            </w:r>
          </w:p>
        </w:tc>
      </w:tr>
      <w:tr>
        <w:trPr>
          <w:trHeight w:val="2160" w:hRule="atLeast"/>
        </w:trPr>
        <w:tc>
          <w:tcPr>
            <w:tcW w:w="2052" w:type="dxa"/>
            <w:tcBorders/>
          </w:tcPr>
          <w:p>
            <w:pPr>
              <w:pStyle w:val="Normal"/>
              <w:widowControl w:val="false"/>
              <w:numPr>
                <w:ilvl w:val="0"/>
                <w:numId w:val="95"/>
              </w:numPr>
              <w:tabs>
                <w:tab w:val="clear" w:pos="720"/>
                <w:tab w:val="left" w:pos="369" w:leader="none"/>
              </w:tabs>
              <w:spacing w:before="80" w:after="0"/>
              <w:ind w:left="414" w:hanging="342"/>
              <w:outlineLvl w:val="2"/>
              <w:rPr>
                <w:rStyle w:val="Heading3Char"/>
                <w:rFonts w:ascii="Arial" w:hAnsi="Arial"/>
                <w:b/>
                <w:b/>
                <w:bCs w:val="false"/>
                <w:sz w:val="22"/>
                <w:szCs w:val="22"/>
              </w:rPr>
            </w:pPr>
            <w:bookmarkStart w:id="740" w:name="_Toc421454315"/>
            <w:r>
              <w:rPr>
                <w:rStyle w:val="Heading3Char"/>
                <w:rFonts w:ascii="Arial" w:hAnsi="Arial"/>
                <w:b/>
                <w:bCs w:val="false"/>
                <w:sz w:val="22"/>
                <w:szCs w:val="22"/>
              </w:rPr>
              <w:t>Limitation of Liability</w:t>
            </w:r>
            <w:bookmarkEnd w:id="740"/>
          </w:p>
        </w:tc>
        <w:tc>
          <w:tcPr>
            <w:tcW w:w="7559" w:type="dxa"/>
            <w:tcBorders/>
          </w:tcPr>
          <w:p>
            <w:pPr>
              <w:pStyle w:val="SubClauseText"/>
              <w:widowControl w:val="false"/>
              <w:numPr>
                <w:ilvl w:val="0"/>
                <w:numId w:val="130"/>
              </w:numPr>
              <w:tabs>
                <w:tab w:val="clear" w:pos="720"/>
              </w:tabs>
              <w:spacing w:before="80" w:after="0"/>
              <w:ind w:left="1449" w:hanging="1449"/>
              <w:rPr>
                <w:rFonts w:ascii="Arial" w:hAnsi="Arial" w:eastAsia="SimSun" w:cs="Arial"/>
                <w:spacing w:val="0"/>
                <w:sz w:val="22"/>
                <w:szCs w:val="22"/>
                <w:lang w:val="en-GB" w:eastAsia="zh-CN"/>
              </w:rPr>
            </w:pPr>
            <w:r>
              <w:rPr>
                <w:rFonts w:eastAsia="SimSun" w:cs="Arial" w:ascii="Arial" w:hAnsi="Arial"/>
                <w:spacing w:val="0"/>
                <w:sz w:val="22"/>
                <w:szCs w:val="22"/>
                <w:lang w:val="en-GB" w:eastAsia="zh-CN"/>
              </w:rPr>
              <w:t>Except in cases of criminal negligence or willful misconduct,</w:t>
            </w:r>
          </w:p>
          <w:p>
            <w:pPr>
              <w:pStyle w:val="Default"/>
              <w:widowControl w:val="false"/>
              <w:tabs>
                <w:tab w:val="clear" w:pos="720"/>
                <w:tab w:val="left" w:pos="1242" w:leader="none"/>
              </w:tabs>
              <w:spacing w:before="80" w:after="0"/>
              <w:ind w:left="1242" w:hanging="540"/>
              <w:jc w:val="both"/>
              <w:rPr>
                <w:rFonts w:ascii="Arial" w:hAnsi="Arial" w:eastAsia="SimSun" w:cs="Arial"/>
                <w:color w:val="auto"/>
                <w:sz w:val="22"/>
                <w:szCs w:val="22"/>
                <w:lang w:val="en-GB" w:eastAsia="zh-CN"/>
              </w:rPr>
            </w:pPr>
            <w:r>
              <w:rPr>
                <w:rFonts w:eastAsia="SimSun" w:cs="Arial" w:ascii="Arial" w:hAnsi="Arial"/>
                <w:color w:val="auto"/>
                <w:sz w:val="22"/>
                <w:szCs w:val="22"/>
                <w:lang w:val="en-GB" w:eastAsia="zh-CN"/>
              </w:rPr>
              <w:t>(a) 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pPr>
              <w:pStyle w:val="SubClauseText"/>
              <w:widowControl w:val="false"/>
              <w:tabs>
                <w:tab w:val="clear" w:pos="720"/>
                <w:tab w:val="left" w:pos="1242" w:leader="none"/>
              </w:tabs>
              <w:spacing w:before="80" w:after="0"/>
              <w:ind w:left="1242" w:hanging="540"/>
              <w:rPr>
                <w:rFonts w:ascii="Arial" w:hAnsi="Arial" w:cs="Arial"/>
                <w:sz w:val="22"/>
                <w:szCs w:val="22"/>
                <w:lang w:val="en-GB"/>
              </w:rPr>
            </w:pPr>
            <w:r>
              <w:rPr>
                <w:rFonts w:eastAsia="SimSun" w:cs="Arial" w:ascii="Arial" w:hAnsi="Arial"/>
                <w:spacing w:val="0"/>
                <w:sz w:val="22"/>
                <w:szCs w:val="22"/>
                <w:lang w:val="en-GB" w:eastAsia="zh-CN"/>
              </w:rPr>
              <w:t>(b) 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trPr/>
        <w:tc>
          <w:tcPr>
            <w:tcW w:w="2052" w:type="dxa"/>
            <w:tcBorders/>
          </w:tcPr>
          <w:p>
            <w:pPr>
              <w:pStyle w:val="Normal"/>
              <w:widowControl w:val="false"/>
              <w:numPr>
                <w:ilvl w:val="0"/>
                <w:numId w:val="95"/>
              </w:numPr>
              <w:tabs>
                <w:tab w:val="clear" w:pos="720"/>
                <w:tab w:val="left" w:pos="369" w:leader="none"/>
              </w:tabs>
              <w:spacing w:before="120" w:after="0"/>
              <w:ind w:left="414" w:hanging="342"/>
              <w:outlineLvl w:val="2"/>
              <w:rPr>
                <w:rStyle w:val="Heading3Char"/>
                <w:rFonts w:ascii="Arial" w:hAnsi="Arial"/>
                <w:b/>
                <w:b/>
                <w:bCs w:val="false"/>
                <w:sz w:val="22"/>
                <w:szCs w:val="22"/>
              </w:rPr>
            </w:pPr>
            <w:bookmarkStart w:id="741" w:name="_Toc49504845"/>
            <w:bookmarkStart w:id="742" w:name="_Toc49504294"/>
            <w:bookmarkStart w:id="743" w:name="_Toc35418468"/>
            <w:bookmarkStart w:id="744" w:name="_Toc49504727"/>
            <w:bookmarkStart w:id="745" w:name="_Toc49569865"/>
            <w:bookmarkStart w:id="746" w:name="_Toc49591427"/>
            <w:bookmarkStart w:id="747" w:name="_Toc49591775"/>
            <w:bookmarkStart w:id="748" w:name="_Toc421454316"/>
            <w:r>
              <w:rPr>
                <w:rStyle w:val="Heading3Char"/>
                <w:rFonts w:ascii="Arial" w:hAnsi="Arial"/>
                <w:b/>
                <w:bCs w:val="false"/>
                <w:sz w:val="22"/>
                <w:szCs w:val="22"/>
              </w:rPr>
              <w:t>Adjustment for Changes in Legislation</w:t>
            </w:r>
            <w:bookmarkEnd w:id="741"/>
            <w:bookmarkEnd w:id="742"/>
            <w:bookmarkEnd w:id="743"/>
            <w:bookmarkEnd w:id="744"/>
            <w:bookmarkEnd w:id="745"/>
            <w:bookmarkEnd w:id="746"/>
            <w:bookmarkEnd w:id="747"/>
            <w:bookmarkEnd w:id="748"/>
          </w:p>
        </w:tc>
        <w:tc>
          <w:tcPr>
            <w:tcW w:w="7559" w:type="dxa"/>
            <w:tcBorders/>
          </w:tcPr>
          <w:p>
            <w:pPr>
              <w:pStyle w:val="SubClauseText"/>
              <w:widowControl w:val="false"/>
              <w:numPr>
                <w:ilvl w:val="0"/>
                <w:numId w:val="131"/>
              </w:numPr>
              <w:tabs>
                <w:tab w:val="clear" w:pos="720"/>
                <w:tab w:val="left" w:pos="702" w:leader="none"/>
              </w:tabs>
              <w:spacing w:before="120" w:after="120"/>
              <w:ind w:left="702" w:hanging="702"/>
              <w:rPr>
                <w:rFonts w:ascii="Arial" w:hAnsi="Arial" w:cs="Arial"/>
                <w:sz w:val="22"/>
                <w:szCs w:val="22"/>
                <w:lang w:val="en-GB"/>
              </w:rPr>
            </w:pPr>
            <w:r>
              <w:rPr>
                <w:rFonts w:cs="Arial" w:ascii="Arial" w:hAnsi="Arial"/>
                <w:sz w:val="22"/>
                <w:szCs w:val="22"/>
                <w:lang w:val="en-GB"/>
              </w:rPr>
              <w:t>Unless otherwise specified in the Contract, if after the Contract, any law, regulation, ordinance, order or bylaw having the force of law is enacted, promulgated, abrogated, or changed in Bangladesh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adjustment of Contract Price where applicable, under GCC Clause 23.</w:t>
            </w:r>
          </w:p>
        </w:tc>
      </w:tr>
      <w:tr>
        <w:trPr/>
        <w:tc>
          <w:tcPr>
            <w:tcW w:w="2052" w:type="dxa"/>
            <w:vMerge w:val="restart"/>
            <w:tcBorders/>
            <w:shd w:color="auto" w:fill="auto" w:val="clear"/>
          </w:tcPr>
          <w:p>
            <w:pPr>
              <w:pStyle w:val="Normal"/>
              <w:widowControl w:val="false"/>
              <w:numPr>
                <w:ilvl w:val="0"/>
                <w:numId w:val="95"/>
              </w:numPr>
              <w:tabs>
                <w:tab w:val="clear" w:pos="720"/>
                <w:tab w:val="left" w:pos="369" w:leader="none"/>
              </w:tabs>
              <w:spacing w:before="120" w:after="0"/>
              <w:ind w:left="414" w:hanging="342"/>
              <w:outlineLvl w:val="2"/>
              <w:rPr>
                <w:rStyle w:val="Heading3Char"/>
                <w:rFonts w:ascii="Arial" w:hAnsi="Arial"/>
                <w:b/>
                <w:b/>
                <w:bCs w:val="false"/>
                <w:sz w:val="22"/>
                <w:szCs w:val="22"/>
              </w:rPr>
            </w:pPr>
            <w:bookmarkStart w:id="749" w:name="_Toc101945356"/>
            <w:bookmarkStart w:id="750" w:name="_Toc421454317"/>
            <w:r>
              <w:rPr>
                <w:rStyle w:val="Heading3Char"/>
                <w:rFonts w:ascii="Arial" w:hAnsi="Arial"/>
                <w:b/>
                <w:bCs w:val="false"/>
                <w:sz w:val="22"/>
                <w:szCs w:val="22"/>
              </w:rPr>
              <w:t>Force Majeure</w:t>
            </w:r>
            <w:bookmarkEnd w:id="749"/>
            <w:bookmarkEnd w:id="750"/>
          </w:p>
        </w:tc>
        <w:tc>
          <w:tcPr>
            <w:tcW w:w="7559" w:type="dxa"/>
            <w:tcBorders/>
          </w:tcPr>
          <w:p>
            <w:pPr>
              <w:pStyle w:val="ClauseSubPara"/>
              <w:widowControl w:val="false"/>
              <w:numPr>
                <w:ilvl w:val="1"/>
                <w:numId w:val="131"/>
              </w:numPr>
              <w:tabs>
                <w:tab w:val="clear" w:pos="720"/>
                <w:tab w:val="left" w:pos="702" w:leader="none"/>
              </w:tabs>
              <w:spacing w:before="0" w:after="120"/>
              <w:ind w:left="702" w:hanging="630"/>
              <w:jc w:val="both"/>
              <w:rPr>
                <w:rFonts w:ascii="Arial" w:hAnsi="Arial" w:cs="Arial"/>
                <w:spacing w:val="-4"/>
              </w:rPr>
            </w:pPr>
            <w:r>
              <w:rPr>
                <w:rFonts w:cs="Arial" w:ascii="Arial" w:hAnsi="Arial"/>
                <w:spacing w:val="-4"/>
              </w:rPr>
              <w:t>Force Majeure may include, but is not limited to, exceptional events or circumstances of the kind listed below:</w:t>
            </w:r>
          </w:p>
          <w:p>
            <w:pPr>
              <w:pStyle w:val="ClauseSubListSubList"/>
              <w:widowControl w:val="false"/>
              <w:numPr>
                <w:ilvl w:val="2"/>
                <w:numId w:val="131"/>
              </w:numPr>
              <w:tabs>
                <w:tab w:val="clear" w:pos="720"/>
              </w:tabs>
              <w:spacing w:before="0" w:after="120"/>
              <w:ind w:left="1242" w:hanging="540"/>
              <w:jc w:val="both"/>
              <w:rPr>
                <w:rFonts w:ascii="Arial" w:hAnsi="Arial" w:cs="Arial"/>
                <w:spacing w:val="-4"/>
              </w:rPr>
            </w:pPr>
            <w:r>
              <w:rPr>
                <w:rFonts w:cs="Arial" w:ascii="Arial" w:hAnsi="Arial"/>
                <w:spacing w:val="-4"/>
              </w:rPr>
              <w:t>war, hostilities (whether war be declared or not), invasion, act of foreign enemies;</w:t>
            </w:r>
          </w:p>
          <w:p>
            <w:pPr>
              <w:pStyle w:val="ClauseSubListSubList"/>
              <w:widowControl w:val="false"/>
              <w:numPr>
                <w:ilvl w:val="2"/>
                <w:numId w:val="131"/>
              </w:numPr>
              <w:tabs>
                <w:tab w:val="clear" w:pos="720"/>
              </w:tabs>
              <w:spacing w:before="0" w:after="120"/>
              <w:ind w:left="1242" w:hanging="540"/>
              <w:jc w:val="both"/>
              <w:rPr>
                <w:rFonts w:ascii="Arial" w:hAnsi="Arial" w:cs="Arial"/>
                <w:spacing w:val="-4"/>
              </w:rPr>
            </w:pPr>
            <w:r>
              <w:rPr>
                <w:rFonts w:cs="Arial" w:ascii="Arial" w:hAnsi="Arial"/>
                <w:spacing w:val="-4"/>
              </w:rPr>
              <w:t>rebellion, terrorism, sabotage by persons other than the Contractor’s Personnel, revolution, insurrection, military or usurped power, or civil war;</w:t>
            </w:r>
          </w:p>
          <w:p>
            <w:pPr>
              <w:pStyle w:val="ClauseSubListSubList"/>
              <w:widowControl w:val="false"/>
              <w:numPr>
                <w:ilvl w:val="2"/>
                <w:numId w:val="131"/>
              </w:numPr>
              <w:tabs>
                <w:tab w:val="clear" w:pos="720"/>
              </w:tabs>
              <w:spacing w:before="0" w:after="120"/>
              <w:ind w:left="1242" w:hanging="540"/>
              <w:jc w:val="both"/>
              <w:rPr>
                <w:rFonts w:ascii="Arial" w:hAnsi="Arial" w:cs="Arial"/>
                <w:spacing w:val="-4"/>
              </w:rPr>
            </w:pPr>
            <w:r>
              <w:rPr>
                <w:rFonts w:cs="Arial" w:ascii="Arial" w:hAnsi="Arial"/>
                <w:spacing w:val="-4"/>
              </w:rPr>
              <w:t>riot, commotion, disorder, strike or lockout by persons other than the Contractor’s Personnel;</w:t>
            </w:r>
          </w:p>
          <w:p>
            <w:pPr>
              <w:pStyle w:val="ClauseSubListSubList"/>
              <w:widowControl w:val="false"/>
              <w:numPr>
                <w:ilvl w:val="2"/>
                <w:numId w:val="131"/>
              </w:numPr>
              <w:tabs>
                <w:tab w:val="clear" w:pos="720"/>
              </w:tabs>
              <w:spacing w:before="0" w:after="120"/>
              <w:ind w:left="1242" w:hanging="540"/>
              <w:jc w:val="both"/>
              <w:rPr>
                <w:rFonts w:ascii="Arial" w:hAnsi="Arial" w:cs="Arial"/>
                <w:spacing w:val="-4"/>
              </w:rPr>
            </w:pPr>
            <w:r>
              <w:rPr>
                <w:rFonts w:cs="Arial" w:ascii="Arial" w:hAnsi="Arial"/>
                <w:spacing w:val="-4"/>
              </w:rPr>
              <w:t>munitions of war, explosive materials, ionising radiation or contamination by radio-activity, except as may be attributable to the Contractor’s use of such munitions, explosives, radiation or radio-activity, and</w:t>
            </w:r>
          </w:p>
          <w:p>
            <w:pPr>
              <w:pStyle w:val="ClauseSubListSubList"/>
              <w:widowControl w:val="false"/>
              <w:numPr>
                <w:ilvl w:val="2"/>
                <w:numId w:val="131"/>
              </w:numPr>
              <w:tabs>
                <w:tab w:val="clear" w:pos="720"/>
              </w:tabs>
              <w:spacing w:before="0" w:after="120"/>
              <w:ind w:left="1242" w:hanging="540"/>
              <w:jc w:val="both"/>
              <w:rPr>
                <w:rFonts w:ascii="Arial" w:hAnsi="Arial" w:cs="Arial"/>
              </w:rPr>
            </w:pPr>
            <w:r>
              <w:rPr>
                <w:rFonts w:cs="Arial" w:ascii="Arial" w:hAnsi="Arial"/>
                <w:spacing w:val="-4"/>
              </w:rPr>
              <w:t>natural catastrophes such as cyclone, hurricane, typhoon, tsunami, storm surge, floods, earthquake , landslides, fires, epidemics, quarantine restrictions,  or volcanic activity;</w:t>
            </w:r>
          </w:p>
          <w:p>
            <w:pPr>
              <w:pStyle w:val="ClauseSubListSubList"/>
              <w:widowControl w:val="false"/>
              <w:numPr>
                <w:ilvl w:val="2"/>
                <w:numId w:val="131"/>
              </w:numPr>
              <w:tabs>
                <w:tab w:val="clear" w:pos="720"/>
              </w:tabs>
              <w:spacing w:before="0" w:after="120"/>
              <w:ind w:left="1242" w:hanging="540"/>
              <w:jc w:val="both"/>
              <w:rPr>
                <w:rFonts w:ascii="Arial" w:hAnsi="Arial" w:cs="Arial"/>
              </w:rPr>
            </w:pPr>
            <w:r>
              <w:rPr>
                <w:rFonts w:cs="Arial" w:ascii="Arial" w:hAnsi="Arial"/>
              </w:rPr>
              <w:t>freight embargoes;</w:t>
            </w:r>
          </w:p>
          <w:p>
            <w:pPr>
              <w:pStyle w:val="ClauseSubListSubList"/>
              <w:widowControl w:val="false"/>
              <w:numPr>
                <w:ilvl w:val="2"/>
                <w:numId w:val="131"/>
              </w:numPr>
              <w:tabs>
                <w:tab w:val="clear" w:pos="720"/>
              </w:tabs>
              <w:spacing w:before="0" w:after="120"/>
              <w:ind w:left="1242" w:hanging="540"/>
              <w:jc w:val="both"/>
              <w:rPr>
                <w:rFonts w:ascii="Arial" w:hAnsi="Arial" w:cs="Arial"/>
                <w:sz w:val="21"/>
                <w:szCs w:val="21"/>
              </w:rPr>
            </w:pPr>
            <w:r>
              <w:rPr>
                <w:rFonts w:cs="Arial" w:ascii="Arial" w:hAnsi="Arial"/>
              </w:rPr>
              <w:t>acts of the Government in its sovereign capacity.</w:t>
            </w:r>
          </w:p>
        </w:tc>
      </w:tr>
      <w:tr>
        <w:trPr/>
        <w:tc>
          <w:tcPr>
            <w:tcW w:w="2052" w:type="dxa"/>
            <w:vMerge w:val="continue"/>
            <w:tcBorders/>
            <w:shd w:color="auto" w:fill="auto" w:val="clear"/>
          </w:tcPr>
          <w:p>
            <w:pPr>
              <w:pStyle w:val="Normal"/>
              <w:widowControl w:val="false"/>
              <w:numPr>
                <w:ilvl w:val="0"/>
                <w:numId w:val="0"/>
              </w:numPr>
              <w:spacing w:before="120" w:after="0"/>
              <w:ind w:left="360" w:hanging="0"/>
              <w:outlineLvl w:val="2"/>
              <w:rPr>
                <w:rStyle w:val="Heading3Char"/>
                <w:rFonts w:ascii="Arial" w:hAnsi="Arial"/>
                <w:b/>
                <w:b/>
                <w:bCs w:val="false"/>
                <w:sz w:val="22"/>
                <w:szCs w:val="22"/>
              </w:rPr>
            </w:pPr>
            <w:r>
              <w:rPr>
                <w:rFonts w:ascii="Arial" w:hAnsi="Arial"/>
                <w:b/>
                <w:bCs w:val="false"/>
                <w:sz w:val="22"/>
                <w:szCs w:val="22"/>
              </w:rPr>
            </w:r>
          </w:p>
        </w:tc>
        <w:tc>
          <w:tcPr>
            <w:tcW w:w="7559" w:type="dxa"/>
            <w:tcBorders/>
          </w:tcPr>
          <w:p>
            <w:pPr>
              <w:pStyle w:val="ClauseSubPara"/>
              <w:widowControl w:val="false"/>
              <w:numPr>
                <w:ilvl w:val="1"/>
                <w:numId w:val="131"/>
              </w:numPr>
              <w:tabs>
                <w:tab w:val="clear" w:pos="720"/>
                <w:tab w:val="left" w:pos="612" w:leader="none"/>
              </w:tabs>
              <w:spacing w:before="120" w:after="0"/>
              <w:ind w:left="612" w:hanging="540"/>
              <w:jc w:val="both"/>
              <w:rPr>
                <w:rFonts w:ascii="Arial" w:hAnsi="Arial" w:cs="Arial"/>
                <w:spacing w:val="-4"/>
              </w:rPr>
            </w:pPr>
            <w:r>
              <w:rPr>
                <w:rFonts w:cs="Arial" w:ascii="Arial" w:hAnsi="Arial"/>
              </w:rPr>
              <w:t>The Head of Procuring Entity decides the existence of a Force Majeure that will be the basis of the issuance of order for suspension of Supply as stated under GCC Sub Clause 39.2.</w:t>
            </w:r>
          </w:p>
        </w:tc>
      </w:tr>
      <w:tr>
        <w:trPr/>
        <w:tc>
          <w:tcPr>
            <w:tcW w:w="2052" w:type="dxa"/>
            <w:tcBorders/>
            <w:shd w:color="auto" w:fill="auto" w:val="clear"/>
          </w:tcPr>
          <w:p>
            <w:pPr>
              <w:pStyle w:val="Normal"/>
              <w:widowControl w:val="false"/>
              <w:numPr>
                <w:ilvl w:val="0"/>
                <w:numId w:val="95"/>
              </w:numPr>
              <w:tabs>
                <w:tab w:val="clear" w:pos="720"/>
                <w:tab w:val="left" w:pos="369" w:leader="none"/>
              </w:tabs>
              <w:spacing w:before="120" w:after="0"/>
              <w:ind w:left="414" w:hanging="342"/>
              <w:outlineLvl w:val="2"/>
              <w:rPr>
                <w:rStyle w:val="Heading3Char"/>
                <w:rFonts w:ascii="Arial" w:hAnsi="Arial"/>
                <w:b/>
                <w:b/>
                <w:bCs w:val="false"/>
                <w:sz w:val="22"/>
                <w:szCs w:val="22"/>
              </w:rPr>
            </w:pPr>
            <w:bookmarkStart w:id="751" w:name="_Toc421454318"/>
            <w:r>
              <w:rPr>
                <w:rStyle w:val="Heading3Char"/>
                <w:rFonts w:ascii="Arial" w:hAnsi="Arial"/>
                <w:b/>
                <w:bCs w:val="false"/>
                <w:sz w:val="22"/>
                <w:szCs w:val="22"/>
              </w:rPr>
              <w:t>Notice of Force Majeure</w:t>
            </w:r>
            <w:bookmarkEnd w:id="751"/>
          </w:p>
        </w:tc>
        <w:tc>
          <w:tcPr>
            <w:tcW w:w="7559" w:type="dxa"/>
            <w:tcBorders/>
          </w:tcPr>
          <w:p>
            <w:pPr>
              <w:pStyle w:val="ClauseSubPara"/>
              <w:widowControl w:val="false"/>
              <w:numPr>
                <w:ilvl w:val="0"/>
                <w:numId w:val="132"/>
              </w:numPr>
              <w:tabs>
                <w:tab w:val="clear" w:pos="720"/>
                <w:tab w:val="left" w:pos="612" w:leader="none"/>
              </w:tabs>
              <w:spacing w:before="120" w:after="0"/>
              <w:ind w:left="612" w:hanging="612"/>
              <w:jc w:val="both"/>
              <w:rPr>
                <w:rFonts w:ascii="Arial" w:hAnsi="Arial" w:cs="Arial"/>
                <w:spacing w:val="-4"/>
              </w:rPr>
            </w:pPr>
            <w:r>
              <w:rPr>
                <w:rFonts w:cs="Arial" w:ascii="Arial" w:hAnsi="Arial"/>
                <w:spacing w:val="-4"/>
              </w:rPr>
              <w:t>If a Party is or will be prevented from performing its substantial obligations under the Contract by Force Majeure, then it shall give notice within fourteen (14) days</w:t>
            </w:r>
            <w:r>
              <w:rPr>
                <w:rFonts w:cs="Arial" w:ascii="Arial" w:hAnsi="Arial"/>
              </w:rPr>
              <w:t xml:space="preserve"> after the party became aware, </w:t>
            </w:r>
            <w:r>
              <w:rPr>
                <w:rFonts w:cs="Arial" w:ascii="Arial" w:hAnsi="Arial"/>
                <w:spacing w:val="-4"/>
              </w:rPr>
              <w:t xml:space="preserve"> to the other Party of the event or circumstances constituting the Force Majeure and shall specify the obligations, the performance of which is or will be prevented.</w:t>
            </w:r>
          </w:p>
          <w:p>
            <w:pPr>
              <w:pStyle w:val="ClauseSubPara"/>
              <w:widowControl w:val="false"/>
              <w:numPr>
                <w:ilvl w:val="0"/>
                <w:numId w:val="132"/>
              </w:numPr>
              <w:tabs>
                <w:tab w:val="clear" w:pos="720"/>
                <w:tab w:val="left" w:pos="612" w:leader="none"/>
              </w:tabs>
              <w:spacing w:before="120" w:after="0"/>
              <w:ind w:left="612" w:hanging="612"/>
              <w:jc w:val="both"/>
              <w:rPr>
                <w:rFonts w:ascii="Arial" w:hAnsi="Arial" w:cs="Arial"/>
                <w:i/>
                <w:i/>
                <w:iCs/>
                <w:lang w:val="en-GB"/>
              </w:rPr>
            </w:pPr>
            <w:r>
              <w:rPr>
                <w:rFonts w:cs="Arial" w:ascii="Arial" w:hAnsi="Arial"/>
                <w:spacing w:val="-4"/>
              </w:rPr>
              <w:t>Notwithstanding any other provision of this Clause, Force Majeure shall not apply to obligations of either Party to make payments to the other Party under the Contract.</w:t>
            </w:r>
          </w:p>
        </w:tc>
      </w:tr>
      <w:tr>
        <w:trPr/>
        <w:tc>
          <w:tcPr>
            <w:tcW w:w="2052" w:type="dxa"/>
            <w:vMerge w:val="restart"/>
            <w:tcBorders/>
            <w:shd w:color="auto" w:fill="auto" w:val="clear"/>
          </w:tcPr>
          <w:p>
            <w:pPr>
              <w:pStyle w:val="Normal"/>
              <w:widowControl w:val="false"/>
              <w:numPr>
                <w:ilvl w:val="0"/>
                <w:numId w:val="95"/>
              </w:numPr>
              <w:tabs>
                <w:tab w:val="clear" w:pos="720"/>
                <w:tab w:val="left" w:pos="369" w:leader="none"/>
              </w:tabs>
              <w:spacing w:before="120" w:after="0"/>
              <w:ind w:left="414" w:hanging="342"/>
              <w:outlineLvl w:val="2"/>
              <w:rPr>
                <w:rStyle w:val="Heading3Char"/>
                <w:rFonts w:ascii="Arial" w:hAnsi="Arial"/>
                <w:b/>
                <w:b/>
                <w:bCs w:val="false"/>
                <w:sz w:val="22"/>
                <w:szCs w:val="22"/>
              </w:rPr>
            </w:pPr>
            <w:bookmarkStart w:id="752" w:name="_Toc421454319"/>
            <w:r>
              <w:rPr>
                <w:rStyle w:val="Heading3Char"/>
                <w:rFonts w:ascii="Arial" w:hAnsi="Arial"/>
                <w:b/>
                <w:bCs w:val="false"/>
                <w:sz w:val="22"/>
                <w:szCs w:val="22"/>
              </w:rPr>
              <w:t>Duty to Minimise Delay</w:t>
            </w:r>
            <w:bookmarkEnd w:id="752"/>
          </w:p>
        </w:tc>
        <w:tc>
          <w:tcPr>
            <w:tcW w:w="7559" w:type="dxa"/>
            <w:tcBorders/>
          </w:tcPr>
          <w:p>
            <w:pPr>
              <w:pStyle w:val="ClauseSubPara"/>
              <w:widowControl w:val="false"/>
              <w:numPr>
                <w:ilvl w:val="1"/>
                <w:numId w:val="67"/>
              </w:numPr>
              <w:tabs>
                <w:tab w:val="clear" w:pos="720"/>
                <w:tab w:val="left" w:pos="612" w:leader="none"/>
              </w:tabs>
              <w:spacing w:before="120" w:after="0"/>
              <w:ind w:left="612" w:hanging="612"/>
              <w:jc w:val="both"/>
              <w:rPr>
                <w:rFonts w:ascii="Arial" w:hAnsi="Arial" w:cs="Arial"/>
                <w:spacing w:val="-4"/>
              </w:rPr>
            </w:pPr>
            <w:r>
              <w:rPr>
                <w:rFonts w:cs="Arial" w:ascii="Arial" w:hAnsi="Arial"/>
                <w:spacing w:val="-4"/>
              </w:rPr>
              <w:t>Each Party shall at all times use all reasonable endeavours to minimise any delay in the performance of the Contract as a result of Force Majeure.</w:t>
            </w:r>
          </w:p>
        </w:tc>
      </w:tr>
      <w:tr>
        <w:trPr/>
        <w:tc>
          <w:tcPr>
            <w:tcW w:w="2052" w:type="dxa"/>
            <w:vMerge w:val="continue"/>
            <w:tcBorders/>
            <w:shd w:color="auto" w:fill="auto" w:val="clear"/>
          </w:tcPr>
          <w:p>
            <w:pPr>
              <w:pStyle w:val="Heading4"/>
              <w:widowControl w:val="false"/>
              <w:spacing w:before="120" w:after="120"/>
              <w:ind w:left="405" w:hanging="351"/>
              <w:jc w:val="both"/>
              <w:rPr>
                <w:rFonts w:ascii="Arial" w:hAnsi="Arial" w:cs="Arial"/>
                <w:spacing w:val="-4"/>
                <w:sz w:val="21"/>
                <w:szCs w:val="21"/>
                <w:lang w:val="en-GB"/>
              </w:rPr>
            </w:pPr>
            <w:r>
              <w:rPr>
                <w:rFonts w:cs="Arial" w:ascii="Arial" w:hAnsi="Arial"/>
                <w:spacing w:val="-4"/>
                <w:sz w:val="21"/>
                <w:szCs w:val="21"/>
                <w:lang w:val="en-GB"/>
              </w:rPr>
            </w:r>
          </w:p>
        </w:tc>
        <w:tc>
          <w:tcPr>
            <w:tcW w:w="7559" w:type="dxa"/>
            <w:tcBorders/>
          </w:tcPr>
          <w:p>
            <w:pPr>
              <w:pStyle w:val="ClauseSubPara"/>
              <w:widowControl w:val="false"/>
              <w:numPr>
                <w:ilvl w:val="1"/>
                <w:numId w:val="67"/>
              </w:numPr>
              <w:tabs>
                <w:tab w:val="clear" w:pos="720"/>
                <w:tab w:val="left" w:pos="567" w:leader="none"/>
              </w:tabs>
              <w:spacing w:before="120" w:after="0"/>
              <w:ind w:left="590" w:hanging="576"/>
              <w:jc w:val="both"/>
              <w:rPr>
                <w:rFonts w:ascii="Arial" w:hAnsi="Arial" w:cs="Arial"/>
                <w:spacing w:val="-4"/>
              </w:rPr>
            </w:pPr>
            <w:r>
              <w:rPr>
                <w:rFonts w:cs="Arial" w:ascii="Arial" w:hAnsi="Arial"/>
              </w:rPr>
              <w:t>A Party shall give notice to the other Party when it ceases to be affected by the Force Majeure.</w:t>
            </w:r>
          </w:p>
        </w:tc>
      </w:tr>
      <w:tr>
        <w:trPr/>
        <w:tc>
          <w:tcPr>
            <w:tcW w:w="2052" w:type="dxa"/>
            <w:tcBorders/>
            <w:shd w:color="auto" w:fill="auto" w:val="clear"/>
          </w:tcPr>
          <w:p>
            <w:pPr>
              <w:pStyle w:val="Normal"/>
              <w:widowControl w:val="false"/>
              <w:numPr>
                <w:ilvl w:val="0"/>
                <w:numId w:val="95"/>
              </w:numPr>
              <w:tabs>
                <w:tab w:val="clear" w:pos="720"/>
                <w:tab w:val="left" w:pos="369" w:leader="none"/>
              </w:tabs>
              <w:spacing w:before="120" w:after="0"/>
              <w:ind w:left="414" w:hanging="342"/>
              <w:outlineLvl w:val="2"/>
              <w:rPr>
                <w:rStyle w:val="Heading3Char"/>
                <w:rFonts w:ascii="Arial" w:hAnsi="Arial"/>
                <w:b/>
                <w:b/>
                <w:bCs w:val="false"/>
                <w:sz w:val="22"/>
                <w:szCs w:val="22"/>
              </w:rPr>
            </w:pPr>
            <w:bookmarkStart w:id="753" w:name="_Toc421454320"/>
            <w:r>
              <w:rPr>
                <w:rStyle w:val="Heading3Char"/>
                <w:rFonts w:ascii="Arial" w:hAnsi="Arial"/>
                <w:b/>
                <w:bCs w:val="false"/>
                <w:sz w:val="22"/>
                <w:szCs w:val="22"/>
              </w:rPr>
              <w:t>Consequences of Force Majeure</w:t>
            </w:r>
            <w:bookmarkEnd w:id="753"/>
          </w:p>
        </w:tc>
        <w:tc>
          <w:tcPr>
            <w:tcW w:w="7559" w:type="dxa"/>
            <w:tcBorders/>
          </w:tcPr>
          <w:p>
            <w:pPr>
              <w:pStyle w:val="ClauseSubPara"/>
              <w:widowControl w:val="false"/>
              <w:numPr>
                <w:ilvl w:val="0"/>
                <w:numId w:val="133"/>
              </w:numPr>
              <w:spacing w:before="120" w:after="0"/>
              <w:jc w:val="both"/>
              <w:rPr>
                <w:rFonts w:ascii="Arial" w:hAnsi="Arial" w:cs="Arial"/>
                <w:spacing w:val="-4"/>
              </w:rPr>
            </w:pPr>
            <w:r>
              <w:rPr>
                <w:rFonts w:cs="Arial" w:ascii="Arial" w:hAnsi="Arial"/>
              </w:rPr>
              <w:t>The Supplier shall not be liable for forfeiture of its security, liquidated damages, or termination for default if and to the extent that it’s delay in performance or other failure to perform its obligations under the Contract is the result of an event of Force Majeure.</w:t>
            </w:r>
          </w:p>
        </w:tc>
      </w:tr>
      <w:tr>
        <w:trPr/>
        <w:tc>
          <w:tcPr>
            <w:tcW w:w="2052" w:type="dxa"/>
            <w:vMerge w:val="restart"/>
            <w:tcBorders/>
            <w:shd w:color="auto" w:fill="auto" w:val="clear"/>
          </w:tcPr>
          <w:p>
            <w:pPr>
              <w:pStyle w:val="Heading4"/>
              <w:widowControl w:val="false"/>
              <w:tabs>
                <w:tab w:val="clear" w:pos="720"/>
                <w:tab w:val="left" w:pos="432" w:leader="none"/>
              </w:tabs>
              <w:spacing w:before="120" w:after="120"/>
              <w:ind w:left="432" w:hanging="432"/>
              <w:rPr>
                <w:rFonts w:ascii="Arial" w:hAnsi="Arial" w:cs="Arial"/>
                <w:sz w:val="21"/>
                <w:szCs w:val="21"/>
                <w:lang w:val="en-GB"/>
              </w:rPr>
            </w:pPr>
            <w:r>
              <w:rPr>
                <w:rFonts w:cs="Arial" w:ascii="Arial" w:hAnsi="Arial"/>
                <w:sz w:val="21"/>
                <w:szCs w:val="21"/>
                <w:lang w:val="en-GB"/>
              </w:rPr>
            </w:r>
          </w:p>
        </w:tc>
        <w:tc>
          <w:tcPr>
            <w:tcW w:w="7559" w:type="dxa"/>
            <w:tcBorders/>
          </w:tcPr>
          <w:p>
            <w:pPr>
              <w:pStyle w:val="ClauseSubPara"/>
              <w:widowControl w:val="false"/>
              <w:numPr>
                <w:ilvl w:val="0"/>
                <w:numId w:val="133"/>
              </w:numPr>
              <w:spacing w:before="120" w:after="0"/>
              <w:jc w:val="both"/>
              <w:rPr>
                <w:rFonts w:ascii="Arial" w:hAnsi="Arial" w:cs="Arial"/>
              </w:rPr>
            </w:pPr>
            <w:r>
              <w:rPr>
                <w:rFonts w:cs="Arial" w:ascii="Arial" w:hAnsi="Arial"/>
              </w:rPr>
              <w:t>The Procuring Entity may suspend the delivery or contract implementation, wholly or partly, by written order for a certain period of time, as it deems necessary due to Force Majeure as defined in the Contract.</w:t>
            </w:r>
          </w:p>
        </w:tc>
      </w:tr>
      <w:tr>
        <w:trPr/>
        <w:tc>
          <w:tcPr>
            <w:tcW w:w="2052" w:type="dxa"/>
            <w:vMerge w:val="continue"/>
            <w:tcBorders/>
            <w:shd w:color="auto" w:fill="auto" w:val="clear"/>
          </w:tcPr>
          <w:p>
            <w:pPr>
              <w:pStyle w:val="Heading4"/>
              <w:widowControl w:val="false"/>
              <w:tabs>
                <w:tab w:val="clear" w:pos="720"/>
                <w:tab w:val="left" w:pos="432" w:leader="none"/>
              </w:tabs>
              <w:spacing w:before="120" w:after="120"/>
              <w:ind w:left="432" w:hanging="432"/>
              <w:rPr>
                <w:rFonts w:ascii="Arial" w:hAnsi="Arial" w:cs="Arial"/>
                <w:sz w:val="21"/>
                <w:szCs w:val="21"/>
                <w:lang w:val="en-GB"/>
              </w:rPr>
            </w:pPr>
            <w:r>
              <w:rPr>
                <w:rFonts w:cs="Arial" w:ascii="Arial" w:hAnsi="Arial"/>
                <w:sz w:val="21"/>
                <w:szCs w:val="21"/>
                <w:lang w:val="en-GB"/>
              </w:rPr>
            </w:r>
          </w:p>
        </w:tc>
        <w:tc>
          <w:tcPr>
            <w:tcW w:w="7559" w:type="dxa"/>
            <w:tcBorders/>
          </w:tcPr>
          <w:p>
            <w:pPr>
              <w:pStyle w:val="ClauseSubPara"/>
              <w:widowControl w:val="false"/>
              <w:numPr>
                <w:ilvl w:val="0"/>
                <w:numId w:val="133"/>
              </w:numPr>
              <w:spacing w:before="120" w:after="0"/>
              <w:jc w:val="both"/>
              <w:rPr>
                <w:rFonts w:ascii="Arial" w:hAnsi="Arial" w:cs="Arial"/>
              </w:rPr>
            </w:pPr>
            <w:r>
              <w:rPr>
                <w:rFonts w:cs="Arial" w:ascii="Arial" w:hAnsi="Arial"/>
              </w:rPr>
              <w:t>Delivery shall be made either upon the lifting or the expiration of the suspension order. However, if the Procuring Entity terminates the contract as stated under GCC Clause 40, resumption of delivery cannot be done.</w:t>
            </w:r>
          </w:p>
        </w:tc>
      </w:tr>
      <w:tr>
        <w:trPr/>
        <w:tc>
          <w:tcPr>
            <w:tcW w:w="2052" w:type="dxa"/>
            <w:vMerge w:val="continue"/>
            <w:tcBorders/>
            <w:shd w:color="auto" w:fill="auto" w:val="clear"/>
          </w:tcPr>
          <w:p>
            <w:pPr>
              <w:pStyle w:val="Heading4"/>
              <w:widowControl w:val="false"/>
              <w:tabs>
                <w:tab w:val="clear" w:pos="720"/>
                <w:tab w:val="left" w:pos="432" w:leader="none"/>
              </w:tabs>
              <w:spacing w:before="120" w:after="120"/>
              <w:ind w:left="432" w:hanging="432"/>
              <w:rPr>
                <w:rFonts w:ascii="Arial" w:hAnsi="Arial" w:cs="Arial"/>
                <w:sz w:val="21"/>
                <w:szCs w:val="21"/>
                <w:lang w:val="en-GB"/>
              </w:rPr>
            </w:pPr>
            <w:r>
              <w:rPr>
                <w:rFonts w:cs="Arial" w:ascii="Arial" w:hAnsi="Arial"/>
                <w:sz w:val="21"/>
                <w:szCs w:val="21"/>
                <w:lang w:val="en-GB"/>
              </w:rPr>
            </w:r>
          </w:p>
        </w:tc>
        <w:tc>
          <w:tcPr>
            <w:tcW w:w="7559" w:type="dxa"/>
            <w:tcBorders/>
          </w:tcPr>
          <w:p>
            <w:pPr>
              <w:pStyle w:val="ClauseSubPara"/>
              <w:widowControl w:val="false"/>
              <w:numPr>
                <w:ilvl w:val="0"/>
                <w:numId w:val="133"/>
              </w:numPr>
              <w:spacing w:before="120" w:after="0"/>
              <w:jc w:val="both"/>
              <w:rPr>
                <w:rFonts w:ascii="Arial" w:hAnsi="Arial" w:cs="Arial"/>
              </w:rPr>
            </w:pPr>
            <w:r>
              <w:rPr>
                <w:rFonts w:eastAsia="SimSun" w:cs="Arial" w:ascii="Arial" w:hAnsi="Arial"/>
                <w:lang w:eastAsia="zh-CN"/>
              </w:rPr>
              <w:t>After receiving notice under GCC Sub Clause 37.1, the Procuring Entity shall proceed to determine these matters under the provisions of the Contract</w:t>
            </w:r>
            <w:r>
              <w:rPr>
                <w:rFonts w:eastAsia="SimSun" w:cs="Arial" w:ascii="Arial" w:hAnsi="Arial"/>
                <w:highlight w:val="yellow"/>
                <w:lang w:eastAsia="zh-CN"/>
              </w:rPr>
              <w:t>.</w:t>
            </w:r>
          </w:p>
        </w:tc>
      </w:tr>
      <w:tr>
        <w:trPr/>
        <w:tc>
          <w:tcPr>
            <w:tcW w:w="2052" w:type="dxa"/>
            <w:vMerge w:val="restart"/>
            <w:tcBorders/>
            <w:shd w:color="auto" w:fill="auto" w:val="clear"/>
          </w:tcPr>
          <w:p>
            <w:pPr>
              <w:pStyle w:val="Normal"/>
              <w:widowControl w:val="false"/>
              <w:numPr>
                <w:ilvl w:val="0"/>
                <w:numId w:val="95"/>
              </w:numPr>
              <w:tabs>
                <w:tab w:val="clear" w:pos="720"/>
                <w:tab w:val="left" w:pos="369" w:leader="none"/>
              </w:tabs>
              <w:spacing w:before="120" w:after="0"/>
              <w:ind w:left="414" w:hanging="342"/>
              <w:outlineLvl w:val="2"/>
              <w:rPr>
                <w:rStyle w:val="Heading3Char"/>
                <w:rFonts w:ascii="Arial" w:hAnsi="Arial"/>
                <w:b/>
                <w:b/>
                <w:bCs w:val="false"/>
                <w:sz w:val="22"/>
                <w:szCs w:val="22"/>
              </w:rPr>
            </w:pPr>
            <w:bookmarkStart w:id="754" w:name="_Toc421454321"/>
            <w:bookmarkStart w:id="755" w:name="_Toc338337730"/>
            <w:bookmarkEnd w:id="755"/>
            <w:r>
              <w:rPr>
                <w:rStyle w:val="Heading3Char"/>
                <w:rFonts w:ascii="Arial" w:hAnsi="Arial"/>
                <w:b/>
                <w:bCs w:val="false"/>
                <w:sz w:val="22"/>
                <w:szCs w:val="22"/>
              </w:rPr>
              <w:t>Termination</w:t>
            </w:r>
            <w:bookmarkEnd w:id="754"/>
          </w:p>
        </w:tc>
        <w:tc>
          <w:tcPr>
            <w:tcW w:w="7559" w:type="dxa"/>
            <w:tcBorders/>
          </w:tcPr>
          <w:p>
            <w:pPr>
              <w:pStyle w:val="Normal"/>
              <w:widowControl w:val="false"/>
              <w:spacing w:beforeAutospacing="1" w:afterAutospacing="1"/>
              <w:rPr>
                <w:rFonts w:ascii="Arial" w:hAnsi="Arial" w:cs="Arial"/>
                <w:b/>
                <w:b/>
                <w:sz w:val="22"/>
                <w:szCs w:val="22"/>
                <w:lang w:val="en-GB"/>
              </w:rPr>
            </w:pPr>
            <w:r>
              <w:rPr>
                <w:rFonts w:cs="Arial" w:ascii="Arial" w:hAnsi="Arial"/>
                <w:b/>
                <w:sz w:val="22"/>
                <w:szCs w:val="22"/>
                <w:lang w:val="en-GB"/>
              </w:rPr>
              <w:t>Termination for Default</w:t>
            </w:r>
          </w:p>
          <w:p>
            <w:pPr>
              <w:pStyle w:val="Style21"/>
              <w:widowControl w:val="false"/>
              <w:numPr>
                <w:ilvl w:val="0"/>
                <w:numId w:val="134"/>
              </w:numPr>
              <w:tabs>
                <w:tab w:val="clear" w:pos="720"/>
                <w:tab w:val="left" w:pos="612" w:leader="none"/>
              </w:tabs>
              <w:spacing w:before="80" w:after="80"/>
              <w:ind w:left="612" w:right="-144" w:hanging="612"/>
              <w:jc w:val="both"/>
              <w:rPr>
                <w:rFonts w:ascii="Arial" w:hAnsi="Arial" w:cs="Arial"/>
                <w:sz w:val="22"/>
                <w:szCs w:val="22"/>
                <w:lang w:val="en-GB"/>
              </w:rPr>
            </w:pPr>
            <w:r>
              <w:rPr>
                <w:rFonts w:cs="Arial" w:ascii="Arial" w:hAnsi="Arial"/>
                <w:sz w:val="22"/>
                <w:szCs w:val="22"/>
                <w:lang w:val="en-GB"/>
              </w:rPr>
              <w:t>The Procuring Entity, without prejudice to any other remedy for breach of Contract, by giving twenty-eight (28) days written notice of default sent to the Supplier, may terminate the Contract in whole or in part:</w:t>
            </w:r>
          </w:p>
          <w:p>
            <w:pPr>
              <w:pStyle w:val="Normal"/>
              <w:widowControl w:val="false"/>
              <w:numPr>
                <w:ilvl w:val="3"/>
                <w:numId w:val="111"/>
              </w:numPr>
              <w:tabs>
                <w:tab w:val="clear" w:pos="720"/>
                <w:tab w:val="left" w:pos="644" w:leader="none"/>
              </w:tabs>
              <w:ind w:left="644" w:right="-144" w:hanging="360"/>
              <w:rPr>
                <w:rFonts w:ascii="Arial" w:hAnsi="Arial" w:cs="Arial"/>
                <w:sz w:val="22"/>
                <w:szCs w:val="22"/>
                <w:lang w:val="en-GB"/>
              </w:rPr>
            </w:pPr>
            <w:r>
              <w:rPr>
                <w:rFonts w:cs="Arial" w:ascii="Arial" w:hAnsi="Arial"/>
                <w:sz w:val="22"/>
                <w:szCs w:val="22"/>
                <w:lang w:val="en-GB"/>
              </w:rPr>
              <w:t>if the Supplier fails to deliver any or all of the Goods within the period specified in the Contract, or within any extension thereof granted by the Procuring Entity pursuant to GCC Clause 32;or</w:t>
            </w:r>
          </w:p>
          <w:p>
            <w:pPr>
              <w:pStyle w:val="Normal"/>
              <w:widowControl w:val="false"/>
              <w:ind w:left="2520" w:right="-144" w:hanging="0"/>
              <w:rPr>
                <w:rFonts w:ascii="Arial" w:hAnsi="Arial" w:cs="Arial"/>
                <w:sz w:val="22"/>
                <w:szCs w:val="22"/>
                <w:lang w:val="en-GB"/>
              </w:rPr>
            </w:pPr>
            <w:r>
              <w:rPr>
                <w:rFonts w:cs="Arial" w:ascii="Arial" w:hAnsi="Arial"/>
                <w:sz w:val="22"/>
                <w:szCs w:val="22"/>
                <w:lang w:val="en-GB"/>
              </w:rPr>
            </w:r>
          </w:p>
          <w:p>
            <w:pPr>
              <w:pStyle w:val="Normal"/>
              <w:widowControl w:val="false"/>
              <w:numPr>
                <w:ilvl w:val="3"/>
                <w:numId w:val="111"/>
              </w:numPr>
              <w:tabs>
                <w:tab w:val="clear" w:pos="720"/>
                <w:tab w:val="left" w:pos="644" w:leader="none"/>
              </w:tabs>
              <w:ind w:left="644" w:right="-144" w:hanging="360"/>
              <w:rPr>
                <w:rFonts w:ascii="Arial" w:hAnsi="Arial" w:cs="Arial"/>
                <w:sz w:val="22"/>
                <w:szCs w:val="22"/>
                <w:lang w:val="en-GB"/>
              </w:rPr>
            </w:pPr>
            <w:r>
              <w:rPr>
                <w:rFonts w:cs="Arial" w:ascii="Arial" w:hAnsi="Arial"/>
                <w:sz w:val="22"/>
                <w:szCs w:val="22"/>
                <w:lang w:val="en-GB"/>
              </w:rPr>
              <w:t>if the Supplier fails to perform any other obligation under the Contract; or</w:t>
            </w:r>
          </w:p>
          <w:p>
            <w:pPr>
              <w:pStyle w:val="Normal"/>
              <w:widowControl w:val="false"/>
              <w:ind w:left="2520" w:right="-144" w:hanging="0"/>
              <w:rPr>
                <w:rFonts w:ascii="Arial" w:hAnsi="Arial" w:cs="Arial"/>
                <w:sz w:val="22"/>
                <w:szCs w:val="22"/>
                <w:lang w:val="en-GB"/>
              </w:rPr>
            </w:pPr>
            <w:r>
              <w:rPr>
                <w:rFonts w:cs="Arial" w:ascii="Arial" w:hAnsi="Arial"/>
                <w:sz w:val="22"/>
                <w:szCs w:val="22"/>
                <w:lang w:val="en-GB"/>
              </w:rPr>
            </w:r>
          </w:p>
          <w:p>
            <w:pPr>
              <w:pStyle w:val="Normal"/>
              <w:widowControl w:val="false"/>
              <w:numPr>
                <w:ilvl w:val="3"/>
                <w:numId w:val="111"/>
              </w:numPr>
              <w:tabs>
                <w:tab w:val="clear" w:pos="720"/>
                <w:tab w:val="left" w:pos="644" w:leader="none"/>
              </w:tabs>
              <w:ind w:left="644" w:right="-144" w:hanging="360"/>
              <w:rPr>
                <w:rFonts w:ascii="Arial" w:hAnsi="Arial" w:cs="Arial"/>
                <w:sz w:val="22"/>
                <w:szCs w:val="22"/>
                <w:lang w:val="en-GB"/>
              </w:rPr>
            </w:pPr>
            <w:r>
              <w:rPr>
                <w:rFonts w:cs="Arial" w:ascii="Arial" w:hAnsi="Arial"/>
                <w:sz w:val="22"/>
                <w:szCs w:val="22"/>
                <w:lang w:val="en-GB"/>
              </w:rPr>
              <w:t>if the Supplier, in the judgement of the Procuring Entity has engaged in corrupt, fraudulent, collusive and coercive practices(or obstructive practice in case  of Development Partner), as defined in GCC Clause 6, in competing for or in executing the Contract; or</w:t>
            </w:r>
          </w:p>
          <w:p>
            <w:pPr>
              <w:pStyle w:val="Normal"/>
              <w:widowControl w:val="false"/>
              <w:ind w:left="2520" w:right="-144" w:hanging="0"/>
              <w:rPr>
                <w:rFonts w:ascii="Arial" w:hAnsi="Arial" w:cs="Arial"/>
                <w:sz w:val="22"/>
                <w:szCs w:val="22"/>
                <w:lang w:val="en-GB"/>
              </w:rPr>
            </w:pPr>
            <w:r>
              <w:rPr>
                <w:rFonts w:cs="Arial" w:ascii="Arial" w:hAnsi="Arial"/>
                <w:sz w:val="22"/>
                <w:szCs w:val="22"/>
                <w:lang w:val="en-GB"/>
              </w:rPr>
            </w:r>
          </w:p>
          <w:p>
            <w:pPr>
              <w:pStyle w:val="Normal"/>
              <w:widowControl w:val="false"/>
              <w:numPr>
                <w:ilvl w:val="3"/>
                <w:numId w:val="111"/>
              </w:numPr>
              <w:tabs>
                <w:tab w:val="clear" w:pos="720"/>
                <w:tab w:val="left" w:pos="644" w:leader="none"/>
              </w:tabs>
              <w:ind w:left="644" w:right="-144" w:hanging="360"/>
              <w:rPr>
                <w:rFonts w:ascii="Arial" w:hAnsi="Arial" w:cs="Arial"/>
                <w:sz w:val="22"/>
                <w:szCs w:val="22"/>
                <w:lang w:val="en-GB"/>
              </w:rPr>
            </w:pPr>
            <w:bookmarkStart w:id="756" w:name="_Ref97279800"/>
            <w:r>
              <w:rPr>
                <w:rFonts w:cs="Arial" w:ascii="Arial" w:hAnsi="Arial"/>
                <w:sz w:val="22"/>
                <w:szCs w:val="22"/>
                <w:lang w:val="en-GB"/>
              </w:rPr>
              <w:t>if the deductible amount due to Liquidated Damages reaches its maximum as stated under GCC Sub Clause 33</w:t>
            </w:r>
            <w:bookmarkEnd w:id="756"/>
          </w:p>
        </w:tc>
      </w:tr>
      <w:tr>
        <w:trPr/>
        <w:tc>
          <w:tcPr>
            <w:tcW w:w="2052" w:type="dxa"/>
            <w:vMerge w:val="continue"/>
            <w:tcBorders/>
            <w:shd w:color="auto" w:fill="auto" w:val="clear"/>
          </w:tcPr>
          <w:p>
            <w:pPr>
              <w:pStyle w:val="Heading4"/>
              <w:widowControl w:val="false"/>
              <w:spacing w:before="120" w:after="120"/>
              <w:ind w:left="252" w:hanging="0"/>
              <w:rPr>
                <w:rFonts w:ascii="Arial" w:hAnsi="Arial" w:cs="Arial"/>
                <w:sz w:val="21"/>
                <w:szCs w:val="21"/>
                <w:lang w:val="en-GB"/>
              </w:rPr>
            </w:pPr>
            <w:r>
              <w:rPr>
                <w:rFonts w:cs="Arial" w:ascii="Arial" w:hAnsi="Arial"/>
                <w:sz w:val="21"/>
                <w:szCs w:val="21"/>
                <w:lang w:val="en-GB"/>
              </w:rPr>
            </w:r>
          </w:p>
        </w:tc>
        <w:tc>
          <w:tcPr>
            <w:tcW w:w="7559" w:type="dxa"/>
            <w:tcBorders/>
          </w:tcPr>
          <w:p>
            <w:pPr>
              <w:pStyle w:val="Style21"/>
              <w:widowControl w:val="false"/>
              <w:numPr>
                <w:ilvl w:val="0"/>
                <w:numId w:val="134"/>
              </w:numPr>
              <w:tabs>
                <w:tab w:val="clear" w:pos="720"/>
                <w:tab w:val="left" w:pos="612" w:leader="none"/>
              </w:tabs>
              <w:spacing w:before="80" w:after="80"/>
              <w:ind w:left="612" w:hanging="612"/>
              <w:jc w:val="both"/>
              <w:rPr>
                <w:rFonts w:ascii="Arial" w:hAnsi="Arial" w:eastAsia="Times New Roman" w:cs="Arial"/>
                <w:spacing w:val="-4"/>
                <w:sz w:val="22"/>
                <w:szCs w:val="22"/>
                <w:lang w:val="en-GB"/>
              </w:rPr>
            </w:pPr>
            <w:r>
              <w:rPr>
                <w:rFonts w:eastAsia="Times New Roman" w:cs="Arial" w:ascii="Arial" w:hAnsi="Arial"/>
                <w:spacing w:val="-4"/>
                <w:sz w:val="22"/>
                <w:szCs w:val="22"/>
                <w:lang w:val="en-GB"/>
              </w:rPr>
              <w:t>In the event the Procuring Entity terminates the Contract in whole or in part, as stated under GCC Clause 40.1,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tc>
      </w:tr>
      <w:tr>
        <w:trPr>
          <w:trHeight w:val="1629" w:hRule="atLeast"/>
        </w:trPr>
        <w:tc>
          <w:tcPr>
            <w:tcW w:w="2052" w:type="dxa"/>
            <w:tcBorders/>
            <w:shd w:color="auto" w:fill="auto" w:val="clear"/>
          </w:tcPr>
          <w:p>
            <w:pPr>
              <w:pStyle w:val="Normal"/>
              <w:widowControl w:val="false"/>
              <w:numPr>
                <w:ilvl w:val="0"/>
                <w:numId w:val="0"/>
              </w:numPr>
              <w:spacing w:before="120" w:after="0"/>
              <w:ind w:left="360" w:hanging="0"/>
              <w:outlineLvl w:val="2"/>
              <w:rPr>
                <w:rStyle w:val="Heading3Char"/>
                <w:rFonts w:ascii="Arial" w:hAnsi="Arial"/>
                <w:b/>
                <w:b/>
                <w:bCs w:val="false"/>
                <w:sz w:val="22"/>
                <w:szCs w:val="22"/>
              </w:rPr>
            </w:pPr>
            <w:r>
              <w:rPr>
                <w:rFonts w:ascii="Arial" w:hAnsi="Arial"/>
                <w:b/>
                <w:bCs w:val="false"/>
                <w:sz w:val="22"/>
                <w:szCs w:val="22"/>
              </w:rPr>
            </w:r>
          </w:p>
        </w:tc>
        <w:tc>
          <w:tcPr>
            <w:tcW w:w="7559" w:type="dxa"/>
            <w:tcBorders/>
          </w:tcPr>
          <w:p>
            <w:pPr>
              <w:pStyle w:val="Normal"/>
              <w:widowControl w:val="false"/>
              <w:spacing w:beforeAutospacing="1" w:afterAutospacing="1"/>
              <w:rPr>
                <w:rFonts w:ascii="Arial" w:hAnsi="Arial" w:cs="Arial"/>
                <w:b/>
                <w:b/>
                <w:sz w:val="22"/>
                <w:szCs w:val="22"/>
                <w:lang w:val="en-GB"/>
              </w:rPr>
            </w:pPr>
            <w:r>
              <w:rPr>
                <w:rFonts w:cs="Arial" w:ascii="Arial" w:hAnsi="Arial"/>
                <w:b/>
                <w:sz w:val="22"/>
                <w:szCs w:val="22"/>
                <w:lang w:val="en-GB"/>
              </w:rPr>
              <w:t>Termination for Insolvency</w:t>
            </w:r>
          </w:p>
          <w:p>
            <w:pPr>
              <w:pStyle w:val="Style21"/>
              <w:widowControl w:val="false"/>
              <w:numPr>
                <w:ilvl w:val="0"/>
                <w:numId w:val="135"/>
              </w:numPr>
              <w:tabs>
                <w:tab w:val="clear" w:pos="720"/>
                <w:tab w:val="left" w:pos="612" w:leader="none"/>
              </w:tabs>
              <w:spacing w:before="120" w:after="120"/>
              <w:ind w:left="612" w:hanging="612"/>
              <w:jc w:val="both"/>
              <w:rPr>
                <w:rFonts w:ascii="Arial" w:hAnsi="Arial" w:eastAsia="Times New Roman" w:cs="Arial"/>
                <w:spacing w:val="-4"/>
                <w:sz w:val="22"/>
                <w:szCs w:val="22"/>
                <w:lang w:val="en-GB"/>
              </w:rPr>
            </w:pPr>
            <w:r>
              <w:rPr>
                <w:rFonts w:eastAsia="Times New Roman" w:cs="Arial" w:ascii="Arial" w:hAnsi="Arial"/>
                <w:spacing w:val="-4"/>
                <w:sz w:val="22"/>
                <w:szCs w:val="22"/>
                <w:lang w:val="en-GB"/>
              </w:rPr>
              <w:t>The Procuring Entity shall terminate this Contract if the Supplier is declared bankrupt or insolvent as determined with finality by a court of competent jurisdiction.  In this event, termination will be without compensation to the Supplier, provided that such termination will not prejudice or affect any right of action or remedy which has accrued or will accrue thereafter to the Procuring Entity and/or the Supplier.</w:t>
            </w:r>
          </w:p>
        </w:tc>
      </w:tr>
      <w:tr>
        <w:trPr>
          <w:trHeight w:val="2097" w:hRule="atLeast"/>
        </w:trPr>
        <w:tc>
          <w:tcPr>
            <w:tcW w:w="2052" w:type="dxa"/>
            <w:vMerge w:val="restart"/>
            <w:tcBorders/>
            <w:shd w:color="auto" w:fill="auto" w:val="clear"/>
          </w:tcPr>
          <w:p>
            <w:pPr>
              <w:pStyle w:val="Normal"/>
              <w:widowControl w:val="false"/>
              <w:numPr>
                <w:ilvl w:val="0"/>
                <w:numId w:val="0"/>
              </w:numPr>
              <w:spacing w:before="120" w:after="0"/>
              <w:ind w:left="360" w:hanging="0"/>
              <w:outlineLvl w:val="2"/>
              <w:rPr>
                <w:rStyle w:val="Heading3Char"/>
                <w:rFonts w:ascii="Arial" w:hAnsi="Arial"/>
                <w:b/>
                <w:b/>
                <w:bCs w:val="false"/>
                <w:sz w:val="22"/>
                <w:szCs w:val="22"/>
              </w:rPr>
            </w:pPr>
            <w:r>
              <w:rPr>
                <w:rFonts w:ascii="Arial" w:hAnsi="Arial"/>
                <w:b/>
                <w:bCs w:val="false"/>
                <w:sz w:val="22"/>
                <w:szCs w:val="22"/>
              </w:rPr>
            </w:r>
          </w:p>
        </w:tc>
        <w:tc>
          <w:tcPr>
            <w:tcW w:w="7559" w:type="dxa"/>
            <w:tcBorders/>
          </w:tcPr>
          <w:p>
            <w:pPr>
              <w:pStyle w:val="Normal"/>
              <w:widowControl w:val="false"/>
              <w:spacing w:beforeAutospacing="1" w:afterAutospacing="1"/>
              <w:rPr>
                <w:rFonts w:ascii="Arial" w:hAnsi="Arial" w:cs="Arial"/>
                <w:b/>
                <w:b/>
                <w:sz w:val="22"/>
                <w:szCs w:val="22"/>
                <w:lang w:val="en-GB"/>
              </w:rPr>
            </w:pPr>
            <w:r>
              <w:rPr>
                <w:rFonts w:cs="Arial" w:ascii="Arial" w:hAnsi="Arial"/>
                <w:b/>
                <w:sz w:val="22"/>
                <w:szCs w:val="22"/>
                <w:lang w:val="en-GB"/>
              </w:rPr>
              <w:t>Termination for Convenience</w:t>
            </w:r>
          </w:p>
          <w:p>
            <w:pPr>
              <w:pStyle w:val="Style21"/>
              <w:widowControl w:val="false"/>
              <w:numPr>
                <w:ilvl w:val="0"/>
                <w:numId w:val="136"/>
              </w:numPr>
              <w:tabs>
                <w:tab w:val="clear" w:pos="720"/>
                <w:tab w:val="left" w:pos="792" w:leader="none"/>
              </w:tabs>
              <w:spacing w:before="120" w:after="120"/>
              <w:ind w:left="792" w:hanging="720"/>
              <w:jc w:val="both"/>
              <w:rPr>
                <w:rFonts w:ascii="Arial" w:hAnsi="Arial" w:eastAsia="Times New Roman" w:cs="Arial"/>
                <w:spacing w:val="-4"/>
                <w:sz w:val="22"/>
                <w:szCs w:val="22"/>
                <w:lang w:val="en-GB"/>
              </w:rPr>
            </w:pPr>
            <w:r>
              <w:rPr>
                <w:rFonts w:eastAsia="Times New Roman" w:cs="Arial" w:ascii="Arial" w:hAnsi="Arial"/>
                <w:spacing w:val="-4"/>
                <w:sz w:val="22"/>
                <w:szCs w:val="22"/>
                <w:lang w:val="en-GB"/>
              </w:rPr>
              <w:t>The Procuring Entity, by giving twenty-eight (28) days written notice sent to the Supplier, may terminate this Contract, in whole or in part, at any time for its convenience.  The notice of termination shall specify that the termination is for the procuring Entity’s convenience, the extent to which performance of the Supplier under the contract is terminated, and the date upon which such termination becomes effective.</w:t>
            </w:r>
          </w:p>
        </w:tc>
      </w:tr>
      <w:tr>
        <w:trPr>
          <w:trHeight w:val="630" w:hRule="atLeast"/>
        </w:trPr>
        <w:tc>
          <w:tcPr>
            <w:tcW w:w="2052" w:type="dxa"/>
            <w:vMerge w:val="continue"/>
            <w:tcBorders/>
            <w:shd w:color="auto" w:fill="auto" w:val="clear"/>
          </w:tcPr>
          <w:p>
            <w:pPr>
              <w:pStyle w:val="Heading4"/>
              <w:widowControl w:val="false"/>
              <w:tabs>
                <w:tab w:val="clear" w:pos="720"/>
                <w:tab w:val="left" w:pos="432" w:leader="none"/>
              </w:tabs>
              <w:spacing w:before="60" w:after="60"/>
              <w:rPr>
                <w:rFonts w:ascii="Arial" w:hAnsi="Arial" w:cs="Arial"/>
                <w:sz w:val="21"/>
                <w:szCs w:val="21"/>
                <w:lang w:val="en-GB"/>
              </w:rPr>
            </w:pPr>
            <w:r>
              <w:rPr>
                <w:rFonts w:cs="Arial" w:ascii="Arial" w:hAnsi="Arial"/>
                <w:sz w:val="21"/>
                <w:szCs w:val="21"/>
                <w:lang w:val="en-GB"/>
              </w:rPr>
            </w:r>
          </w:p>
        </w:tc>
        <w:tc>
          <w:tcPr>
            <w:tcW w:w="7559" w:type="dxa"/>
            <w:tcBorders/>
          </w:tcPr>
          <w:p>
            <w:pPr>
              <w:pStyle w:val="Style21"/>
              <w:widowControl w:val="false"/>
              <w:numPr>
                <w:ilvl w:val="0"/>
                <w:numId w:val="136"/>
              </w:numPr>
              <w:tabs>
                <w:tab w:val="clear" w:pos="720"/>
                <w:tab w:val="left" w:pos="612" w:leader="none"/>
              </w:tabs>
              <w:spacing w:before="120" w:after="120"/>
              <w:ind w:left="792" w:hanging="720"/>
              <w:jc w:val="both"/>
              <w:rPr>
                <w:rFonts w:ascii="Arial" w:hAnsi="Arial" w:eastAsia="Times New Roman" w:cs="Arial"/>
                <w:spacing w:val="-4"/>
                <w:sz w:val="22"/>
                <w:szCs w:val="22"/>
                <w:lang w:val="en-GB"/>
              </w:rPr>
            </w:pPr>
            <w:r>
              <w:rPr>
                <w:rFonts w:eastAsia="Times New Roman" w:cs="Arial" w:ascii="Arial" w:hAnsi="Arial"/>
                <w:spacing w:val="-4"/>
                <w:sz w:val="22"/>
                <w:szCs w:val="22"/>
                <w:lang w:val="en-GB"/>
              </w:rPr>
              <w:t>The Goods that have been delivered and/or performed or are ready for delivery or performance within twenty-eight(28) days after the Supplier’s receipt of Notice to Terminate shall be accepted by the Procuring Entity at the contract terms and prices.  For Goods not yet performed and/or ready for delivery, the Procuring Entity may elect:</w:t>
            </w:r>
          </w:p>
          <w:p>
            <w:pPr>
              <w:pStyle w:val="Style21"/>
              <w:widowControl w:val="false"/>
              <w:numPr>
                <w:ilvl w:val="0"/>
                <w:numId w:val="52"/>
              </w:numPr>
              <w:tabs>
                <w:tab w:val="clear" w:pos="720"/>
                <w:tab w:val="left" w:pos="1332" w:leader="none"/>
              </w:tabs>
              <w:overflowPunct w:val="false"/>
              <w:spacing w:lineRule="atLeast" w:line="240" w:before="160" w:after="120"/>
              <w:ind w:left="1332" w:hanging="540"/>
              <w:jc w:val="both"/>
              <w:textAlignment w:val="baseline"/>
              <w:rPr>
                <w:rFonts w:ascii="Arial" w:hAnsi="Arial" w:eastAsia="Times New Roman" w:cs="Arial"/>
                <w:spacing w:val="-4"/>
                <w:sz w:val="22"/>
                <w:szCs w:val="22"/>
                <w:lang w:val="en-GB"/>
              </w:rPr>
            </w:pPr>
            <w:r>
              <w:rPr>
                <w:rFonts w:eastAsia="Times New Roman" w:cs="Arial" w:ascii="Arial" w:hAnsi="Arial"/>
                <w:spacing w:val="-4"/>
                <w:sz w:val="22"/>
                <w:szCs w:val="22"/>
                <w:lang w:val="en-GB"/>
              </w:rPr>
              <w:t>to have any portion delivered and/or performed and paid at the contract terms and prices; and/or</w:t>
            </w:r>
          </w:p>
        </w:tc>
      </w:tr>
      <w:tr>
        <w:trPr>
          <w:trHeight w:val="900" w:hRule="atLeast"/>
        </w:trPr>
        <w:tc>
          <w:tcPr>
            <w:tcW w:w="2052" w:type="dxa"/>
            <w:vMerge w:val="continue"/>
            <w:tcBorders/>
            <w:shd w:color="auto" w:fill="auto" w:val="clear"/>
          </w:tcPr>
          <w:p>
            <w:pPr>
              <w:pStyle w:val="Heading4"/>
              <w:widowControl w:val="false"/>
              <w:tabs>
                <w:tab w:val="clear" w:pos="720"/>
                <w:tab w:val="left" w:pos="432" w:leader="none"/>
              </w:tabs>
              <w:spacing w:before="120" w:after="120"/>
              <w:ind w:left="432" w:hanging="432"/>
              <w:rPr>
                <w:rFonts w:ascii="Arial" w:hAnsi="Arial" w:cs="Arial"/>
                <w:sz w:val="21"/>
                <w:szCs w:val="21"/>
                <w:lang w:val="en-GB"/>
              </w:rPr>
            </w:pPr>
            <w:r>
              <w:rPr>
                <w:rFonts w:cs="Arial" w:ascii="Arial" w:hAnsi="Arial"/>
                <w:sz w:val="21"/>
                <w:szCs w:val="21"/>
                <w:lang w:val="en-GB"/>
              </w:rPr>
            </w:r>
          </w:p>
        </w:tc>
        <w:tc>
          <w:tcPr>
            <w:tcW w:w="7559" w:type="dxa"/>
            <w:tcBorders/>
          </w:tcPr>
          <w:p>
            <w:pPr>
              <w:pStyle w:val="Style21"/>
              <w:widowControl w:val="false"/>
              <w:numPr>
                <w:ilvl w:val="0"/>
                <w:numId w:val="52"/>
              </w:numPr>
              <w:tabs>
                <w:tab w:val="clear" w:pos="720"/>
                <w:tab w:val="left" w:pos="1332" w:leader="none"/>
              </w:tabs>
              <w:overflowPunct w:val="false"/>
              <w:spacing w:lineRule="atLeast" w:line="240" w:before="120" w:after="120"/>
              <w:ind w:left="1332" w:hanging="540"/>
              <w:jc w:val="both"/>
              <w:textAlignment w:val="baseline"/>
              <w:rPr>
                <w:rFonts w:ascii="Arial" w:hAnsi="Arial" w:eastAsia="Times New Roman" w:cs="Arial"/>
                <w:spacing w:val="-4"/>
                <w:sz w:val="22"/>
                <w:szCs w:val="22"/>
                <w:lang w:val="en-GB"/>
              </w:rPr>
            </w:pPr>
            <w:r>
              <w:rPr>
                <w:rFonts w:eastAsia="Times New Roman" w:cs="Arial" w:ascii="Arial" w:hAnsi="Arial"/>
                <w:spacing w:val="-4"/>
                <w:sz w:val="22"/>
                <w:szCs w:val="22"/>
                <w:lang w:val="en-GB"/>
              </w:rPr>
              <w:t>to cancel the remainder and pay to the Supplier an agreed amount for partially completed and/or performed goods and for materials and parts previously procured by the Supplier.</w:t>
            </w:r>
          </w:p>
        </w:tc>
      </w:tr>
      <w:tr>
        <w:trPr>
          <w:trHeight w:val="900" w:hRule="atLeast"/>
        </w:trPr>
        <w:tc>
          <w:tcPr>
            <w:tcW w:w="2052" w:type="dxa"/>
            <w:tcBorders/>
            <w:shd w:color="auto" w:fill="auto" w:val="clear"/>
          </w:tcPr>
          <w:p>
            <w:pPr>
              <w:pStyle w:val="Heading4"/>
              <w:widowControl w:val="false"/>
              <w:tabs>
                <w:tab w:val="clear" w:pos="720"/>
                <w:tab w:val="left" w:pos="432" w:leader="none"/>
              </w:tabs>
              <w:spacing w:before="120" w:after="120"/>
              <w:ind w:left="432" w:hanging="432"/>
              <w:rPr>
                <w:rFonts w:ascii="Arial" w:hAnsi="Arial" w:cs="Arial"/>
                <w:sz w:val="21"/>
                <w:szCs w:val="21"/>
                <w:lang w:val="en-GB"/>
              </w:rPr>
            </w:pPr>
            <w:r>
              <w:rPr>
                <w:rFonts w:cs="Arial" w:ascii="Arial" w:hAnsi="Arial"/>
                <w:sz w:val="21"/>
                <w:szCs w:val="21"/>
                <w:lang w:val="en-GB"/>
              </w:rPr>
            </w:r>
          </w:p>
        </w:tc>
        <w:tc>
          <w:tcPr>
            <w:tcW w:w="7559" w:type="dxa"/>
            <w:tcBorders/>
          </w:tcPr>
          <w:p>
            <w:pPr>
              <w:pStyle w:val="Style21"/>
              <w:widowControl w:val="false"/>
              <w:numPr>
                <w:ilvl w:val="0"/>
                <w:numId w:val="136"/>
              </w:numPr>
              <w:tabs>
                <w:tab w:val="clear" w:pos="720"/>
                <w:tab w:val="left" w:pos="792" w:leader="none"/>
              </w:tabs>
              <w:spacing w:before="120" w:after="120"/>
              <w:ind w:left="792" w:hanging="792"/>
              <w:jc w:val="both"/>
              <w:rPr>
                <w:rFonts w:ascii="Arial" w:hAnsi="Arial" w:eastAsia="Times New Roman" w:cs="Arial"/>
                <w:spacing w:val="-4"/>
                <w:sz w:val="22"/>
                <w:szCs w:val="22"/>
                <w:lang w:val="en-GB"/>
              </w:rPr>
            </w:pPr>
            <w:r>
              <w:rPr>
                <w:rFonts w:cs="Arial" w:ascii="Arial" w:hAnsi="Arial"/>
                <w:sz w:val="22"/>
                <w:szCs w:val="22"/>
                <w:lang w:val="en-GB"/>
              </w:rPr>
              <w:t>The expiration of the Delivery and Completion Schedule, initiation of amicable settlement of disputes, adjudication and arbitral proceedings under the set terms and conditions shall not be deemed a termination of the contract.</w:t>
            </w:r>
          </w:p>
        </w:tc>
      </w:tr>
      <w:tr>
        <w:trPr/>
        <w:tc>
          <w:tcPr>
            <w:tcW w:w="2052" w:type="dxa"/>
            <w:vMerge w:val="restart"/>
            <w:tcBorders/>
            <w:shd w:color="auto" w:fill="auto" w:val="clear"/>
          </w:tcPr>
          <w:p>
            <w:pPr>
              <w:pStyle w:val="Normal"/>
              <w:widowControl w:val="false"/>
              <w:numPr>
                <w:ilvl w:val="0"/>
                <w:numId w:val="95"/>
              </w:numPr>
              <w:tabs>
                <w:tab w:val="clear" w:pos="720"/>
                <w:tab w:val="left" w:pos="369" w:leader="none"/>
              </w:tabs>
              <w:spacing w:before="120" w:after="0"/>
              <w:ind w:left="414" w:hanging="342"/>
              <w:outlineLvl w:val="2"/>
              <w:rPr>
                <w:rStyle w:val="Heading3Char"/>
                <w:rFonts w:ascii="Arial" w:hAnsi="Arial"/>
                <w:b/>
                <w:b/>
                <w:bCs w:val="false"/>
                <w:sz w:val="22"/>
                <w:szCs w:val="22"/>
              </w:rPr>
            </w:pPr>
            <w:bookmarkStart w:id="757" w:name="_Toc421454322"/>
            <w:bookmarkStart w:id="758" w:name="_Toc338337752"/>
            <w:bookmarkStart w:id="759" w:name="_Toc338337755"/>
            <w:bookmarkStart w:id="760" w:name="_Toc338337749"/>
            <w:bookmarkStart w:id="761" w:name="_Toc338337746"/>
            <w:bookmarkStart w:id="762" w:name="_Toc338337743"/>
            <w:bookmarkEnd w:id="758"/>
            <w:bookmarkEnd w:id="759"/>
            <w:bookmarkEnd w:id="760"/>
            <w:bookmarkEnd w:id="761"/>
            <w:bookmarkEnd w:id="762"/>
            <w:r>
              <w:rPr>
                <w:rStyle w:val="Heading3Char"/>
                <w:rFonts w:ascii="Arial" w:hAnsi="Arial"/>
                <w:b/>
                <w:bCs w:val="false"/>
                <w:sz w:val="22"/>
                <w:szCs w:val="22"/>
              </w:rPr>
              <w:t>Amendment to Contract</w:t>
            </w:r>
            <w:bookmarkEnd w:id="757"/>
          </w:p>
        </w:tc>
        <w:tc>
          <w:tcPr>
            <w:tcW w:w="7559" w:type="dxa"/>
            <w:tcBorders/>
          </w:tcPr>
          <w:p>
            <w:pPr>
              <w:pStyle w:val="Normal"/>
              <w:widowControl w:val="false"/>
              <w:numPr>
                <w:ilvl w:val="0"/>
                <w:numId w:val="68"/>
              </w:numPr>
              <w:tabs>
                <w:tab w:val="clear" w:pos="720"/>
                <w:tab w:val="left" w:pos="792" w:leader="none"/>
              </w:tabs>
              <w:spacing w:before="100" w:after="100"/>
              <w:ind w:left="792" w:right="-72" w:hanging="792"/>
              <w:jc w:val="both"/>
              <w:rPr>
                <w:rFonts w:ascii="Arial" w:hAnsi="Arial" w:cs="Arial"/>
                <w:sz w:val="22"/>
                <w:szCs w:val="22"/>
                <w:lang w:val="en-GB"/>
              </w:rPr>
            </w:pPr>
            <w:r>
              <w:rPr>
                <w:rFonts w:cs="Arial" w:ascii="Arial" w:hAnsi="Arial"/>
                <w:sz w:val="22"/>
                <w:szCs w:val="22"/>
              </w:rPr>
              <w:t>The amendment to Contract shall generally include equitable adjustments in original Contract price, Delivery and Completion Schedule and, any other changes acceptable under the conditions of the Contract.</w:t>
            </w:r>
          </w:p>
        </w:tc>
      </w:tr>
      <w:tr>
        <w:trPr/>
        <w:tc>
          <w:tcPr>
            <w:tcW w:w="2052" w:type="dxa"/>
            <w:vMerge w:val="continue"/>
            <w:tcBorders/>
            <w:shd w:color="auto" w:fill="auto" w:val="clear"/>
          </w:tcPr>
          <w:p>
            <w:pPr>
              <w:pStyle w:val="Heading4"/>
              <w:widowControl w:val="false"/>
              <w:tabs>
                <w:tab w:val="clear" w:pos="720"/>
                <w:tab w:val="left" w:pos="432" w:leader="none"/>
              </w:tabs>
              <w:spacing w:before="120" w:after="120"/>
              <w:ind w:left="432" w:hanging="432"/>
              <w:rPr>
                <w:rFonts w:ascii="Arial" w:hAnsi="Arial" w:cs="Arial"/>
                <w:sz w:val="21"/>
                <w:szCs w:val="21"/>
                <w:lang w:val="en-GB"/>
              </w:rPr>
            </w:pPr>
            <w:r>
              <w:rPr>
                <w:rFonts w:cs="Arial" w:ascii="Arial" w:hAnsi="Arial"/>
                <w:sz w:val="21"/>
                <w:szCs w:val="21"/>
                <w:lang w:val="en-GB"/>
              </w:rPr>
            </w:r>
          </w:p>
        </w:tc>
        <w:tc>
          <w:tcPr>
            <w:tcW w:w="7559" w:type="dxa"/>
            <w:tcBorders/>
          </w:tcPr>
          <w:p>
            <w:pPr>
              <w:pStyle w:val="Normal"/>
              <w:widowControl w:val="false"/>
              <w:numPr>
                <w:ilvl w:val="0"/>
                <w:numId w:val="68"/>
              </w:numPr>
              <w:tabs>
                <w:tab w:val="clear" w:pos="720"/>
                <w:tab w:val="left" w:pos="792" w:leader="none"/>
              </w:tabs>
              <w:spacing w:before="100" w:after="100"/>
              <w:ind w:left="792" w:right="-72" w:hanging="792"/>
              <w:jc w:val="both"/>
              <w:rPr>
                <w:rFonts w:ascii="Arial" w:hAnsi="Arial" w:cs="Arial"/>
                <w:sz w:val="22"/>
                <w:szCs w:val="22"/>
                <w:lang w:val="en-GB"/>
              </w:rPr>
            </w:pPr>
            <w:r>
              <w:rPr>
                <w:rFonts w:cs="Arial" w:ascii="Arial" w:hAnsi="Arial"/>
                <w:sz w:val="22"/>
                <w:szCs w:val="22"/>
                <w:lang w:val="en-GB"/>
              </w:rPr>
              <w:t>The Procuring Entity shall amend the Contract, incorporating the changes approved in accordance with the Delegation of Financial Power or sub-delegation thereof and, introduced to the original terms and conditions of the Contract.</w:t>
            </w:r>
          </w:p>
        </w:tc>
      </w:tr>
      <w:tr>
        <w:trPr/>
        <w:tc>
          <w:tcPr>
            <w:tcW w:w="2052" w:type="dxa"/>
            <w:tcBorders/>
            <w:shd w:color="auto" w:fill="auto" w:val="clear"/>
          </w:tcPr>
          <w:p>
            <w:pPr>
              <w:pStyle w:val="Normal"/>
              <w:widowControl w:val="false"/>
              <w:numPr>
                <w:ilvl w:val="0"/>
                <w:numId w:val="95"/>
              </w:numPr>
              <w:tabs>
                <w:tab w:val="clear" w:pos="720"/>
                <w:tab w:val="left" w:pos="369" w:leader="none"/>
              </w:tabs>
              <w:spacing w:before="120" w:after="0"/>
              <w:ind w:left="414" w:hanging="342"/>
              <w:outlineLvl w:val="2"/>
              <w:rPr>
                <w:rStyle w:val="Heading3Char"/>
                <w:rFonts w:ascii="Arial" w:hAnsi="Arial"/>
                <w:b/>
                <w:b/>
                <w:bCs w:val="false"/>
                <w:sz w:val="22"/>
                <w:szCs w:val="22"/>
              </w:rPr>
            </w:pPr>
            <w:bookmarkStart w:id="763" w:name="_Toc421454323"/>
            <w:bookmarkStart w:id="764" w:name="_Toc49591778"/>
            <w:bookmarkStart w:id="765" w:name="_Toc49591430"/>
            <w:bookmarkStart w:id="766" w:name="_Toc49569868"/>
            <w:bookmarkStart w:id="767" w:name="_Toc49504730"/>
            <w:bookmarkStart w:id="768" w:name="_Toc49504848"/>
            <w:bookmarkStart w:id="769" w:name="_Toc35418449"/>
            <w:bookmarkStart w:id="770" w:name="_Toc49504297"/>
            <w:bookmarkStart w:id="771" w:name="_Toc37234119"/>
            <w:r>
              <w:rPr>
                <w:rStyle w:val="Heading3Char"/>
                <w:rFonts w:ascii="Arial" w:hAnsi="Arial"/>
                <w:b/>
                <w:bCs w:val="false"/>
                <w:sz w:val="22"/>
                <w:szCs w:val="22"/>
              </w:rPr>
              <w:t>Settlement of Disputes</w:t>
            </w:r>
            <w:bookmarkEnd w:id="763"/>
            <w:bookmarkEnd w:id="764"/>
            <w:bookmarkEnd w:id="765"/>
            <w:bookmarkEnd w:id="766"/>
            <w:bookmarkEnd w:id="767"/>
            <w:bookmarkEnd w:id="768"/>
            <w:bookmarkEnd w:id="769"/>
            <w:bookmarkEnd w:id="770"/>
            <w:bookmarkEnd w:id="771"/>
          </w:p>
        </w:tc>
        <w:tc>
          <w:tcPr>
            <w:tcW w:w="7559" w:type="dxa"/>
            <w:tcBorders/>
          </w:tcPr>
          <w:p>
            <w:pPr>
              <w:pStyle w:val="Normal"/>
              <w:widowControl w:val="false"/>
              <w:numPr>
                <w:ilvl w:val="0"/>
                <w:numId w:val="69"/>
              </w:numPr>
              <w:tabs>
                <w:tab w:val="clear" w:pos="720"/>
                <w:tab w:val="left" w:pos="612" w:leader="none"/>
              </w:tabs>
              <w:spacing w:before="100" w:after="100"/>
              <w:ind w:left="1602" w:right="-72" w:hanging="1602"/>
              <w:jc w:val="both"/>
              <w:rPr>
                <w:rFonts w:ascii="Arial" w:hAnsi="Arial" w:cs="Arial"/>
                <w:sz w:val="22"/>
                <w:szCs w:val="22"/>
                <w:u w:val="single"/>
                <w:lang w:val="en-GB"/>
              </w:rPr>
            </w:pPr>
            <w:r>
              <w:rPr>
                <w:rFonts w:cs="Arial" w:ascii="Arial" w:hAnsi="Arial"/>
                <w:sz w:val="22"/>
                <w:szCs w:val="22"/>
                <w:u w:val="single"/>
                <w:lang w:val="en-GB"/>
              </w:rPr>
              <w:t>Amicable Settlement:</w:t>
            </w:r>
          </w:p>
          <w:p>
            <w:pPr>
              <w:pStyle w:val="Normal"/>
              <w:widowControl w:val="false"/>
              <w:numPr>
                <w:ilvl w:val="1"/>
                <w:numId w:val="69"/>
              </w:numPr>
              <w:tabs>
                <w:tab w:val="clear" w:pos="720"/>
                <w:tab w:val="left" w:pos="1179" w:leader="none"/>
              </w:tabs>
              <w:spacing w:before="120" w:after="120"/>
              <w:ind w:left="1196" w:hanging="634"/>
              <w:jc w:val="both"/>
              <w:rPr>
                <w:rFonts w:ascii="Arial" w:hAnsi="Arial" w:cs="Arial"/>
                <w:sz w:val="22"/>
                <w:szCs w:val="22"/>
                <w:lang w:val="en-GB"/>
              </w:rPr>
            </w:pPr>
            <w:r>
              <w:rPr>
                <w:rFonts w:cs="Arial" w:ascii="Arial" w:hAnsi="Arial"/>
                <w:sz w:val="22"/>
                <w:szCs w:val="22"/>
                <w:lang w:val="en-GB"/>
              </w:rPr>
              <w:t>The Procuring Entity and the Supplier shall use their best efforts to settle amicably all disputes arising out of or in connection with this Contract or its interpretation.</w:t>
            </w:r>
          </w:p>
        </w:tc>
      </w:tr>
      <w:tr>
        <w:trPr>
          <w:trHeight w:val="80" w:hRule="atLeast"/>
        </w:trPr>
        <w:tc>
          <w:tcPr>
            <w:tcW w:w="2052" w:type="dxa"/>
            <w:tcBorders/>
            <w:shd w:color="auto" w:fill="auto" w:val="clear"/>
          </w:tcPr>
          <w:p>
            <w:pPr>
              <w:pStyle w:val="Normal"/>
              <w:widowControl w:val="false"/>
              <w:spacing w:before="120" w:after="120"/>
              <w:rPr>
                <w:rFonts w:ascii="Arial" w:hAnsi="Arial" w:cs="Arial"/>
                <w:sz w:val="21"/>
                <w:szCs w:val="21"/>
                <w:lang w:val="en-GB"/>
              </w:rPr>
            </w:pPr>
            <w:r>
              <w:rPr>
                <w:rFonts w:cs="Arial" w:ascii="Arial" w:hAnsi="Arial"/>
                <w:sz w:val="21"/>
                <w:szCs w:val="21"/>
                <w:lang w:val="en-GB"/>
              </w:rPr>
            </w:r>
          </w:p>
        </w:tc>
        <w:tc>
          <w:tcPr>
            <w:tcW w:w="7559" w:type="dxa"/>
            <w:tcBorders/>
          </w:tcPr>
          <w:p>
            <w:pPr>
              <w:pStyle w:val="Normal"/>
              <w:widowControl w:val="false"/>
              <w:numPr>
                <w:ilvl w:val="0"/>
                <w:numId w:val="69"/>
              </w:numPr>
              <w:tabs>
                <w:tab w:val="clear" w:pos="720"/>
              </w:tabs>
              <w:spacing w:before="100" w:after="100"/>
              <w:ind w:left="590" w:right="-72" w:hanging="576"/>
              <w:jc w:val="both"/>
              <w:rPr>
                <w:rFonts w:ascii="Arial" w:hAnsi="Arial" w:cs="Arial"/>
                <w:sz w:val="22"/>
                <w:szCs w:val="22"/>
                <w:u w:val="single"/>
                <w:lang w:val="en-GB"/>
              </w:rPr>
            </w:pPr>
            <w:r>
              <w:rPr>
                <w:rFonts w:cs="Arial" w:ascii="Arial" w:hAnsi="Arial"/>
                <w:sz w:val="22"/>
                <w:szCs w:val="22"/>
                <w:u w:val="single"/>
                <w:lang w:val="en-GB"/>
              </w:rPr>
              <w:t>Adjudication</w:t>
            </w:r>
          </w:p>
          <w:p>
            <w:pPr>
              <w:pStyle w:val="Normal"/>
              <w:widowControl w:val="false"/>
              <w:numPr>
                <w:ilvl w:val="0"/>
                <w:numId w:val="12"/>
              </w:numPr>
              <w:tabs>
                <w:tab w:val="clear" w:pos="720"/>
                <w:tab w:val="left" w:pos="1197" w:leader="none"/>
              </w:tabs>
              <w:spacing w:before="120" w:after="120"/>
              <w:ind w:left="1196" w:hanging="634"/>
              <w:jc w:val="both"/>
              <w:rPr>
                <w:rFonts w:ascii="Arial" w:hAnsi="Arial" w:cs="Arial"/>
                <w:sz w:val="22"/>
                <w:szCs w:val="22"/>
                <w:lang w:val="en-GB"/>
              </w:rPr>
            </w:pPr>
            <w:r>
              <w:rPr>
                <w:rFonts w:cs="Arial" w:ascii="Arial" w:hAnsi="Arial"/>
                <w:sz w:val="22"/>
                <w:szCs w:val="22"/>
                <w:lang w:val="en-GB"/>
              </w:rPr>
              <w:t>If the Supplier /Procuring Entity believe that amicable settlement of dispute is not possible between the two parties, the dispute shall be referred to the Adjudicator within fourteen (14) days of first written correspondence on the matter of disagreement;</w:t>
            </w:r>
          </w:p>
          <w:p>
            <w:pPr>
              <w:pStyle w:val="Normal"/>
              <w:widowControl w:val="false"/>
              <w:numPr>
                <w:ilvl w:val="0"/>
                <w:numId w:val="12"/>
              </w:numPr>
              <w:tabs>
                <w:tab w:val="clear" w:pos="720"/>
                <w:tab w:val="left" w:pos="1179" w:leader="none"/>
              </w:tabs>
              <w:spacing w:before="120" w:after="120"/>
              <w:ind w:left="1197" w:hanging="630"/>
              <w:jc w:val="both"/>
              <w:rPr>
                <w:rFonts w:ascii="Arial" w:hAnsi="Arial" w:cs="Arial"/>
                <w:sz w:val="22"/>
                <w:szCs w:val="22"/>
                <w:lang w:val="en-GB"/>
              </w:rPr>
            </w:pPr>
            <w:r>
              <w:rPr>
                <w:rFonts w:cs="Arial" w:ascii="Arial" w:hAnsi="Arial"/>
                <w:sz w:val="22"/>
                <w:szCs w:val="22"/>
                <w:lang w:val="en-GB"/>
              </w:rPr>
              <w:t xml:space="preserve">The Adjudicator named in the </w:t>
            </w:r>
            <w:r>
              <w:rPr>
                <w:rFonts w:cs="Arial" w:ascii="Arial" w:hAnsi="Arial"/>
                <w:b/>
                <w:sz w:val="22"/>
                <w:szCs w:val="22"/>
                <w:lang w:val="en-GB"/>
              </w:rPr>
              <w:t>PCC</w:t>
            </w:r>
            <w:r>
              <w:rPr>
                <w:rFonts w:cs="Arial" w:ascii="Arial" w:hAnsi="Arial"/>
                <w:sz w:val="22"/>
                <w:szCs w:val="22"/>
                <w:lang w:val="en-GB"/>
              </w:rPr>
              <w:t xml:space="preserve"> is jointly appointed by the parties. In case of disagreement between the parties, the Appointing Authority designated in the </w:t>
            </w:r>
            <w:r>
              <w:rPr>
                <w:rFonts w:cs="Arial" w:ascii="Arial" w:hAnsi="Arial"/>
                <w:b/>
                <w:sz w:val="22"/>
                <w:szCs w:val="22"/>
                <w:lang w:val="en-GB"/>
              </w:rPr>
              <w:t>PCC</w:t>
            </w:r>
            <w:r>
              <w:rPr>
                <w:rFonts w:cs="Arial" w:ascii="Arial" w:hAnsi="Arial"/>
                <w:sz w:val="22"/>
                <w:szCs w:val="22"/>
                <w:lang w:val="en-GB"/>
              </w:rPr>
              <w:t xml:space="preserve"> shall appoint the Adjudicator within fourteen (14) days of receipt of a request from either party;</w:t>
            </w:r>
          </w:p>
          <w:p>
            <w:pPr>
              <w:pStyle w:val="Normal"/>
              <w:widowControl w:val="false"/>
              <w:numPr>
                <w:ilvl w:val="0"/>
                <w:numId w:val="12"/>
              </w:numPr>
              <w:tabs>
                <w:tab w:val="clear" w:pos="720"/>
                <w:tab w:val="left" w:pos="1179" w:leader="none"/>
              </w:tabs>
              <w:spacing w:before="120" w:after="120"/>
              <w:ind w:left="1197" w:hanging="630"/>
              <w:jc w:val="both"/>
              <w:rPr>
                <w:rFonts w:ascii="Arial" w:hAnsi="Arial" w:cs="Arial"/>
                <w:sz w:val="22"/>
                <w:szCs w:val="22"/>
                <w:lang w:val="en-GB"/>
              </w:rPr>
            </w:pPr>
            <w:r>
              <w:rPr>
                <w:rFonts w:cs="Arial" w:ascii="Arial" w:hAnsi="Arial"/>
                <w:sz w:val="22"/>
                <w:szCs w:val="22"/>
                <w:lang w:val="en-GB"/>
              </w:rPr>
              <w:t>The Adjudicator shall give its decision in writing to both parties within twenty-eight (28) days of a dispute being referred to it;</w:t>
            </w:r>
          </w:p>
          <w:p>
            <w:pPr>
              <w:pStyle w:val="Normal"/>
              <w:widowControl w:val="false"/>
              <w:numPr>
                <w:ilvl w:val="0"/>
                <w:numId w:val="12"/>
              </w:numPr>
              <w:tabs>
                <w:tab w:val="clear" w:pos="720"/>
                <w:tab w:val="left" w:pos="1179" w:leader="none"/>
              </w:tabs>
              <w:spacing w:before="120" w:after="120"/>
              <w:ind w:left="1197" w:hanging="630"/>
              <w:jc w:val="both"/>
              <w:rPr>
                <w:rFonts w:ascii="Arial" w:hAnsi="Arial" w:cs="Arial"/>
                <w:sz w:val="22"/>
                <w:szCs w:val="22"/>
                <w:lang w:val="en-GB"/>
              </w:rPr>
            </w:pPr>
            <w:r>
              <w:rPr>
                <w:rFonts w:cs="Arial" w:ascii="Arial" w:hAnsi="Arial"/>
                <w:sz w:val="22"/>
                <w:szCs w:val="22"/>
                <w:lang w:val="en-GB"/>
              </w:rPr>
              <w:t>The Supplier shall make all payments (fees and reimbursable expenses) to the Adjudicator, and the Procuring Entity shall reimburse half of these fees through the regular progress payments;</w:t>
            </w:r>
          </w:p>
          <w:p>
            <w:pPr>
              <w:pStyle w:val="Normal"/>
              <w:widowControl w:val="false"/>
              <w:spacing w:before="120" w:after="120"/>
              <w:ind w:left="1035" w:hanging="468"/>
              <w:jc w:val="both"/>
              <w:rPr>
                <w:rFonts w:ascii="Arial" w:hAnsi="Arial" w:cs="Arial"/>
                <w:sz w:val="22"/>
                <w:szCs w:val="22"/>
                <w:lang w:val="en-GB"/>
              </w:rPr>
            </w:pPr>
            <w:r>
              <w:rPr>
                <w:rFonts w:cs="Arial" w:ascii="Arial" w:hAnsi="Arial"/>
                <w:sz w:val="22"/>
                <w:szCs w:val="22"/>
                <w:lang w:val="en-GB"/>
              </w:rPr>
              <w:t xml:space="preserve">(e)  Should the Adjudicator resign or die, or should the Procuring Entity and the Supplier agree that the Adjudicator is not functioning in accordance with the provisions of the Contract; a new Adjudicator will be jointly appointed by the Procuring Entity and the Supplier. In case of disagreement between the Procuring Entity and the Supplier the Adjudicator shall be designated by the Appointing Authority designated in the </w:t>
            </w:r>
            <w:r>
              <w:rPr>
                <w:rFonts w:cs="Arial" w:ascii="Arial" w:hAnsi="Arial"/>
                <w:b/>
                <w:sz w:val="22"/>
                <w:szCs w:val="22"/>
                <w:lang w:val="en-GB"/>
              </w:rPr>
              <w:t>PCC</w:t>
            </w:r>
            <w:r>
              <w:rPr>
                <w:rFonts w:cs="Arial" w:ascii="Arial" w:hAnsi="Arial"/>
                <w:sz w:val="22"/>
                <w:szCs w:val="22"/>
                <w:lang w:val="en-GB"/>
              </w:rPr>
              <w:t xml:space="preserve"> at the request of either party, within fourteen (14) days of receipt of a request from either Party.</w:t>
            </w:r>
          </w:p>
          <w:p>
            <w:pPr>
              <w:pStyle w:val="Normal"/>
              <w:widowControl w:val="false"/>
              <w:spacing w:before="120" w:after="120"/>
              <w:ind w:left="1035" w:hanging="468"/>
              <w:jc w:val="both"/>
              <w:rPr>
                <w:rFonts w:ascii="Arial" w:hAnsi="Arial" w:cs="Arial"/>
                <w:sz w:val="6"/>
                <w:szCs w:val="22"/>
                <w:lang w:val="en-GB"/>
              </w:rPr>
            </w:pPr>
            <w:r>
              <w:rPr>
                <w:rFonts w:cs="Arial" w:ascii="Arial" w:hAnsi="Arial"/>
                <w:sz w:val="6"/>
                <w:szCs w:val="22"/>
                <w:lang w:val="en-GB"/>
              </w:rPr>
            </w:r>
          </w:p>
          <w:p>
            <w:pPr>
              <w:pStyle w:val="Normal"/>
              <w:widowControl w:val="false"/>
              <w:numPr>
                <w:ilvl w:val="0"/>
                <w:numId w:val="69"/>
              </w:numPr>
              <w:tabs>
                <w:tab w:val="clear" w:pos="720"/>
              </w:tabs>
              <w:spacing w:before="100" w:after="100"/>
              <w:ind w:left="590" w:right="-72" w:hanging="576"/>
              <w:jc w:val="both"/>
              <w:rPr>
                <w:rFonts w:ascii="Arial" w:hAnsi="Arial" w:cs="Arial"/>
                <w:sz w:val="22"/>
                <w:szCs w:val="22"/>
                <w:u w:val="single"/>
                <w:lang w:val="en-GB"/>
              </w:rPr>
            </w:pPr>
            <w:r>
              <w:rPr>
                <w:rFonts w:cs="Arial" w:ascii="Arial" w:hAnsi="Arial"/>
                <w:sz w:val="22"/>
                <w:szCs w:val="22"/>
                <w:u w:val="single"/>
                <w:lang w:val="en-GB"/>
              </w:rPr>
              <w:t>Arbitration</w:t>
            </w:r>
          </w:p>
          <w:p>
            <w:pPr>
              <w:pStyle w:val="Normal"/>
              <w:widowControl w:val="false"/>
              <w:numPr>
                <w:ilvl w:val="1"/>
                <w:numId w:val="69"/>
              </w:numPr>
              <w:tabs>
                <w:tab w:val="clear" w:pos="720"/>
                <w:tab w:val="left" w:pos="1179" w:leader="none"/>
              </w:tabs>
              <w:spacing w:before="120" w:after="120"/>
              <w:ind w:left="1197" w:hanging="630"/>
              <w:jc w:val="both"/>
              <w:rPr>
                <w:rFonts w:ascii="Arial" w:hAnsi="Arial" w:cs="Arial"/>
                <w:sz w:val="22"/>
                <w:szCs w:val="22"/>
                <w:lang w:val="en-GB"/>
              </w:rPr>
            </w:pPr>
            <w:r>
              <w:rPr>
                <w:rFonts w:cs="Arial" w:ascii="Arial" w:hAnsi="Arial"/>
                <w:sz w:val="22"/>
                <w:szCs w:val="22"/>
                <w:lang w:val="en-GB"/>
              </w:rPr>
              <w:t>If the Parties are unable to reach a settlement under GCC Clause 42.1 or 42.2 within twenty-eight (28) days of the first written correspondence on the matter of disagreement, then either Party may give notice to the other party of its intention to commence arbitration in accordance with GCC Sub Clause 42.3(b);</w:t>
            </w:r>
          </w:p>
          <w:p>
            <w:pPr>
              <w:pStyle w:val="Normal"/>
              <w:widowControl w:val="false"/>
              <w:numPr>
                <w:ilvl w:val="1"/>
                <w:numId w:val="69"/>
              </w:numPr>
              <w:tabs>
                <w:tab w:val="clear" w:pos="720"/>
                <w:tab w:val="left" w:pos="1179" w:leader="none"/>
              </w:tabs>
              <w:spacing w:before="120" w:after="0"/>
              <w:ind w:left="1196" w:hanging="634"/>
              <w:jc w:val="both"/>
              <w:rPr>
                <w:rFonts w:ascii="Arial" w:hAnsi="Arial" w:cs="Arial"/>
                <w:sz w:val="22"/>
                <w:szCs w:val="22"/>
                <w:u w:val="single"/>
                <w:lang w:val="en-GB"/>
              </w:rPr>
            </w:pPr>
            <w:r>
              <w:rPr>
                <w:rFonts w:cs="Arial" w:ascii="Arial" w:hAnsi="Arial"/>
                <w:sz w:val="22"/>
                <w:szCs w:val="22"/>
                <w:lang w:val="en-GB"/>
              </w:rPr>
              <w:t xml:space="preserve">The arbitration shall be conducted in accordance with the Arbitration Act (Act No 1 of 2001) of Bangladesh as at present in force and in the place shown in the </w:t>
            </w:r>
            <w:r>
              <w:rPr>
                <w:rFonts w:cs="Arial" w:ascii="Arial" w:hAnsi="Arial"/>
                <w:b/>
                <w:sz w:val="22"/>
                <w:szCs w:val="22"/>
                <w:lang w:val="en-GB"/>
              </w:rPr>
              <w:t>PCC</w:t>
            </w:r>
            <w:r>
              <w:rPr>
                <w:rFonts w:cs="Arial" w:ascii="Arial" w:hAnsi="Arial"/>
                <w:sz w:val="22"/>
                <w:szCs w:val="22"/>
                <w:lang w:val="en-GB"/>
              </w:rPr>
              <w:t>.</w:t>
            </w:r>
          </w:p>
          <w:p>
            <w:pPr>
              <w:pStyle w:val="Normal"/>
              <w:widowControl w:val="false"/>
              <w:spacing w:before="120" w:after="0"/>
              <w:ind w:left="1196" w:hanging="0"/>
              <w:jc w:val="both"/>
              <w:rPr>
                <w:rFonts w:ascii="Arial" w:hAnsi="Arial" w:cs="Arial"/>
                <w:sz w:val="22"/>
                <w:szCs w:val="22"/>
                <w:u w:val="single"/>
                <w:lang w:val="en-GB"/>
              </w:rPr>
            </w:pPr>
            <w:r>
              <w:rPr>
                <w:rFonts w:cs="Arial" w:ascii="Arial" w:hAnsi="Arial"/>
                <w:sz w:val="22"/>
                <w:szCs w:val="22"/>
                <w:u w:val="single"/>
                <w:lang w:val="en-GB"/>
              </w:rPr>
            </w:r>
          </w:p>
        </w:tc>
      </w:tr>
    </w:tbl>
    <w:p>
      <w:pPr>
        <w:pStyle w:val="Normal"/>
        <w:rPr>
          <w:rFonts w:ascii="Arial" w:hAnsi="Arial" w:cs="Arial"/>
          <w:i/>
          <w:i/>
          <w:iCs/>
          <w:lang w:val="en-GB"/>
        </w:rPr>
      </w:pPr>
      <w:r>
        <w:rPr>
          <w:rFonts w:cs="Arial" w:ascii="Arial" w:hAnsi="Arial"/>
          <w:i/>
          <w:iCs/>
          <w:lang w:val="en-GB"/>
        </w:rPr>
      </w:r>
      <w:bookmarkStart w:id="772" w:name="_Toc4383666711"/>
      <w:bookmarkStart w:id="773" w:name="_Toc4382669301"/>
      <w:bookmarkStart w:id="774" w:name="_Toc4382679041"/>
      <w:bookmarkStart w:id="775" w:name="_Toc4383666711"/>
      <w:bookmarkStart w:id="776" w:name="_Toc4382669301"/>
      <w:bookmarkStart w:id="777" w:name="_Toc4382679041"/>
      <w:bookmarkEnd w:id="775"/>
      <w:bookmarkEnd w:id="776"/>
      <w:bookmarkEnd w:id="777"/>
      <w:r>
        <w:br w:type="page"/>
      </w:r>
    </w:p>
    <w:tbl>
      <w:tblPr>
        <w:tblW w:w="9720" w:type="dxa"/>
        <w:jc w:val="left"/>
        <w:tblInd w:w="-253" w:type="dxa"/>
        <w:tblLayout w:type="fixed"/>
        <w:tblCellMar>
          <w:top w:w="0" w:type="dxa"/>
          <w:left w:w="108" w:type="dxa"/>
          <w:bottom w:w="0" w:type="dxa"/>
          <w:right w:w="108" w:type="dxa"/>
        </w:tblCellMar>
        <w:tblLook w:val="00a0" w:noHBand="0" w:noVBand="0" w:firstColumn="1" w:lastRow="0" w:lastColumn="0" w:firstRow="1"/>
      </w:tblPr>
      <w:tblGrid>
        <w:gridCol w:w="1978"/>
        <w:gridCol w:w="7741"/>
      </w:tblGrid>
      <w:tr>
        <w:trPr>
          <w:trHeight w:val="540" w:hRule="atLeast"/>
          <w:cantSplit w:val="true"/>
        </w:trPr>
        <w:tc>
          <w:tcPr>
            <w:tcW w:w="9719" w:type="dxa"/>
            <w:gridSpan w:val="2"/>
            <w:tcBorders>
              <w:bottom w:val="single" w:sz="6" w:space="0" w:color="000000"/>
            </w:tcBorders>
            <w:vAlign w:val="center"/>
          </w:tcPr>
          <w:p>
            <w:pPr>
              <w:pStyle w:val="Heading1"/>
              <w:pageBreakBefore/>
              <w:widowControl w:val="false"/>
              <w:spacing w:before="120" w:after="120"/>
              <w:rPr>
                <w:rFonts w:ascii="Arial" w:hAnsi="Arial" w:cs="Arial"/>
                <w:sz w:val="32"/>
                <w:lang w:val="en-GB"/>
              </w:rPr>
            </w:pPr>
            <w:bookmarkStart w:id="778" w:name="_Toc421454324"/>
            <w:r>
              <w:rPr>
                <w:rFonts w:cs="Arial" w:ascii="Arial" w:hAnsi="Arial"/>
                <w:sz w:val="32"/>
                <w:lang w:val="en-GB"/>
              </w:rPr>
              <w:t>Section 4.Particular Conditions of Contract</w:t>
            </w:r>
            <w:bookmarkEnd w:id="778"/>
          </w:p>
        </w:tc>
      </w:tr>
      <w:tr>
        <w:trPr>
          <w:trHeight w:val="672" w:hRule="atLeast"/>
          <w:cantSplit w:val="true"/>
        </w:trPr>
        <w:tc>
          <w:tcPr>
            <w:tcW w:w="971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tabs>
                <w:tab w:val="clear" w:pos="720"/>
                <w:tab w:val="right" w:pos="7218" w:leader="none"/>
              </w:tabs>
              <w:spacing w:before="120" w:after="120"/>
              <w:jc w:val="both"/>
              <w:rPr>
                <w:rFonts w:ascii="Arial" w:hAnsi="Arial" w:cs="Arial"/>
                <w:b/>
                <w:b/>
                <w:bCs/>
                <w:sz w:val="21"/>
                <w:szCs w:val="21"/>
                <w:lang w:val="en-GB"/>
              </w:rPr>
            </w:pPr>
            <w:r>
              <w:rPr>
                <w:rFonts w:cs="Arial" w:ascii="Arial" w:hAnsi="Arial"/>
                <w:i/>
                <w:iCs/>
                <w:sz w:val="21"/>
                <w:szCs w:val="21"/>
                <w:lang w:val="en-GB"/>
              </w:rPr>
              <w:t>Instructions for completing the Particular Conditions of Contractare provided, as needed, in the notes in italics mentioned for the relevant GCC clauses</w:t>
            </w:r>
            <w:r>
              <w:rPr>
                <w:rFonts w:cs="Arial" w:ascii="Arial" w:hAnsi="Arial"/>
                <w:b/>
                <w:bCs/>
                <w:i/>
                <w:iCs/>
                <w:sz w:val="21"/>
                <w:szCs w:val="21"/>
                <w:lang w:val="en-GB"/>
              </w:rPr>
              <w:t>.</w:t>
            </w:r>
          </w:p>
        </w:tc>
      </w:tr>
      <w:tr>
        <w:trPr>
          <w:trHeight w:val="924" w:hRule="atLeast"/>
          <w:cantSplit w:val="true"/>
        </w:trPr>
        <w:tc>
          <w:tcPr>
            <w:tcW w:w="19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120"/>
              <w:rPr>
                <w:rFonts w:ascii="Arial" w:hAnsi="Arial" w:cs="Arial"/>
                <w:b/>
                <w:b/>
                <w:bCs/>
                <w:sz w:val="22"/>
                <w:szCs w:val="22"/>
                <w:lang w:val="en-GB"/>
              </w:rPr>
            </w:pPr>
            <w:r>
              <w:rPr>
                <w:rFonts w:cs="Arial" w:ascii="Arial" w:hAnsi="Arial"/>
                <w:b/>
                <w:bCs/>
                <w:sz w:val="22"/>
                <w:szCs w:val="22"/>
                <w:lang w:val="en-GB"/>
              </w:rPr>
              <w:t>GCC Clause</w:t>
            </w:r>
          </w:p>
          <w:p>
            <w:pPr>
              <w:pStyle w:val="Normal"/>
              <w:widowControl w:val="false"/>
              <w:spacing w:before="120" w:after="120"/>
              <w:rPr>
                <w:rFonts w:ascii="Arial" w:hAnsi="Arial" w:cs="Arial"/>
                <w:b/>
                <w:b/>
                <w:bCs/>
                <w:sz w:val="22"/>
                <w:szCs w:val="22"/>
                <w:lang w:val="en-GB"/>
              </w:rPr>
            </w:pPr>
            <w:r>
              <w:rPr>
                <w:rFonts w:cs="Arial" w:ascii="Arial" w:hAnsi="Arial"/>
                <w:b/>
                <w:bCs/>
                <w:sz w:val="22"/>
                <w:szCs w:val="22"/>
                <w:lang w:val="en-GB"/>
              </w:rPr>
            </w:r>
          </w:p>
        </w:tc>
        <w:tc>
          <w:tcPr>
            <w:tcW w:w="7741" w:type="dxa"/>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20"/>
                <w:tab w:val="right" w:pos="7218" w:leader="none"/>
              </w:tabs>
              <w:spacing w:before="120" w:after="120"/>
              <w:jc w:val="both"/>
              <w:rPr>
                <w:rFonts w:ascii="Arial" w:hAnsi="Arial" w:cs="Arial"/>
                <w:sz w:val="22"/>
                <w:szCs w:val="22"/>
                <w:lang w:val="en-GB" w:eastAsia="it-IT"/>
              </w:rPr>
            </w:pPr>
            <w:r>
              <w:rPr>
                <w:rFonts w:cs="Arial" w:ascii="Arial" w:hAnsi="Arial"/>
                <w:b/>
                <w:bCs/>
                <w:sz w:val="22"/>
                <w:szCs w:val="22"/>
                <w:lang w:val="en-GB"/>
              </w:rPr>
              <w:t>Amendments of, and Supplements to, Clauses in the General Conditions of Contract</w:t>
            </w:r>
          </w:p>
        </w:tc>
      </w:tr>
      <w:tr>
        <w:trPr>
          <w:trHeight w:val="600" w:hRule="atLeast"/>
          <w:cantSplit w:val="true"/>
        </w:trPr>
        <w:tc>
          <w:tcPr>
            <w:tcW w:w="1978"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Arial" w:hAnsi="Arial" w:cs="Arial"/>
                <w:b/>
                <w:b/>
                <w:sz w:val="22"/>
                <w:szCs w:val="22"/>
                <w:lang w:val="en-GB"/>
              </w:rPr>
            </w:pPr>
            <w:r>
              <w:rPr>
                <w:rFonts w:cs="Arial" w:ascii="Arial" w:hAnsi="Arial"/>
                <w:b/>
                <w:sz w:val="22"/>
                <w:szCs w:val="22"/>
                <w:lang w:val="en-GB"/>
              </w:rPr>
              <w:t>GCC 1.1(n)</w:t>
            </w:r>
          </w:p>
        </w:tc>
        <w:tc>
          <w:tcPr>
            <w:tcW w:w="7741"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ind w:right="-72" w:hanging="0"/>
              <w:rPr>
                <w:rFonts w:ascii="Arial" w:hAnsi="Arial" w:cs="Arial"/>
                <w:sz w:val="22"/>
                <w:szCs w:val="22"/>
                <w:lang w:val="en-GB"/>
              </w:rPr>
            </w:pPr>
            <w:r>
              <w:rPr>
                <w:rFonts w:cs="Arial" w:ascii="Arial" w:hAnsi="Arial"/>
                <w:sz w:val="22"/>
                <w:szCs w:val="22"/>
                <w:lang w:val="en-GB"/>
              </w:rPr>
              <w:t xml:space="preserve">The Procuring Entity is </w:t>
            </w:r>
            <w:r>
              <w:rPr>
                <w:rFonts w:eastAsia="Times New Roman" w:cs="Arial" w:ascii="Arial" w:hAnsi="Arial"/>
                <w:b/>
                <w:sz w:val="22"/>
                <w:szCs w:val="22"/>
                <w:lang w:val="en-GB"/>
              </w:rPr>
              <w:t>Professor Dr. Md. Mustafizur Rahman</w:t>
            </w:r>
            <w:r>
              <w:rPr>
                <w:rFonts w:eastAsia="Arial Unicode MS" w:cs="Arial" w:ascii="Arial" w:hAnsi="Arial"/>
                <w:b/>
                <w:iCs/>
                <w:sz w:val="22"/>
                <w:szCs w:val="22"/>
                <w:lang w:val="en-GB"/>
              </w:rPr>
              <w:t>, Convener, Online Admission Committee</w:t>
            </w:r>
          </w:p>
        </w:tc>
      </w:tr>
      <w:tr>
        <w:trPr>
          <w:trHeight w:val="332" w:hRule="atLeast"/>
          <w:cantSplit w:val="true"/>
        </w:trPr>
        <w:tc>
          <w:tcPr>
            <w:tcW w:w="1978"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Arial" w:hAnsi="Arial" w:cs="Arial"/>
                <w:b/>
                <w:b/>
                <w:sz w:val="22"/>
                <w:szCs w:val="22"/>
                <w:lang w:val="en-GB"/>
              </w:rPr>
            </w:pPr>
            <w:r>
              <w:rPr>
                <w:rFonts w:cs="Arial" w:ascii="Arial" w:hAnsi="Arial"/>
                <w:b/>
                <w:sz w:val="22"/>
                <w:szCs w:val="22"/>
                <w:lang w:val="en-GB"/>
              </w:rPr>
              <w:t>GCC 1.1(s)</w:t>
            </w:r>
          </w:p>
        </w:tc>
        <w:tc>
          <w:tcPr>
            <w:tcW w:w="7741"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ind w:right="-72" w:hanging="0"/>
              <w:rPr>
                <w:rFonts w:ascii="Arial" w:hAnsi="Arial" w:cs="Arial"/>
                <w:i/>
                <w:i/>
                <w:sz w:val="22"/>
                <w:szCs w:val="22"/>
                <w:lang w:val="en-GB"/>
              </w:rPr>
            </w:pPr>
            <w:r>
              <w:rPr>
                <w:rFonts w:cs="Arial" w:ascii="Arial" w:hAnsi="Arial"/>
                <w:sz w:val="22"/>
                <w:szCs w:val="22"/>
                <w:lang w:val="en-GB"/>
              </w:rPr>
              <w:t>The site(s)/ point(s) of delivery is/are:</w:t>
            </w:r>
          </w:p>
          <w:p>
            <w:pPr>
              <w:pStyle w:val="Normal"/>
              <w:widowControl w:val="false"/>
              <w:tabs>
                <w:tab w:val="clear" w:pos="720"/>
                <w:tab w:val="right" w:pos="7254" w:leader="none"/>
              </w:tabs>
              <w:spacing w:before="120" w:after="120"/>
              <w:jc w:val="both"/>
              <w:rPr>
                <w:rFonts w:ascii="Arial" w:hAnsi="Arial" w:eastAsia="Times New Roman" w:cs="Arial"/>
                <w:sz w:val="22"/>
                <w:szCs w:val="22"/>
                <w:lang w:val="en-GB"/>
              </w:rPr>
            </w:pPr>
            <w:r>
              <w:rPr>
                <w:rFonts w:eastAsia="Times New Roman" w:cs="Arial" w:ascii="Arial" w:hAnsi="Arial"/>
                <w:i/>
                <w:sz w:val="22"/>
                <w:szCs w:val="22"/>
                <w:lang w:val="en-GB"/>
              </w:rPr>
              <w:t>Room: 214, Central Admission Office, Administrative Building, University of Dhaka</w:t>
            </w:r>
          </w:p>
        </w:tc>
      </w:tr>
      <w:tr>
        <w:trPr>
          <w:trHeight w:val="2010" w:hRule="atLeast"/>
          <w:cantSplit w:val="true"/>
        </w:trPr>
        <w:tc>
          <w:tcPr>
            <w:tcW w:w="1978"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Arial" w:hAnsi="Arial" w:cs="Arial"/>
                <w:b/>
                <w:b/>
                <w:sz w:val="22"/>
                <w:szCs w:val="22"/>
                <w:lang w:val="en-GB"/>
              </w:rPr>
            </w:pPr>
            <w:r>
              <w:rPr>
                <w:rFonts w:cs="Arial" w:ascii="Arial" w:hAnsi="Arial"/>
                <w:b/>
                <w:sz w:val="22"/>
                <w:szCs w:val="22"/>
                <w:lang w:val="en-GB"/>
              </w:rPr>
              <w:t>GCC 3.1</w:t>
            </w:r>
          </w:p>
        </w:tc>
        <w:tc>
          <w:tcPr>
            <w:tcW w:w="7741" w:type="dxa"/>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20"/>
                <w:tab w:val="right" w:pos="7164" w:leader="none"/>
              </w:tabs>
              <w:spacing w:before="120" w:after="120"/>
              <w:rPr>
                <w:rFonts w:ascii="Arial" w:hAnsi="Arial" w:cs="Arial"/>
                <w:sz w:val="22"/>
                <w:szCs w:val="22"/>
                <w:lang w:val="en-GB"/>
              </w:rPr>
            </w:pPr>
            <w:r>
              <w:rPr>
                <w:rFonts w:cs="Arial" w:ascii="Arial" w:hAnsi="Arial"/>
                <w:sz w:val="22"/>
                <w:szCs w:val="22"/>
                <w:lang w:val="en-GB"/>
              </w:rPr>
              <w:t xml:space="preserve">For </w:t>
            </w:r>
            <w:r>
              <w:rPr>
                <w:rFonts w:cs="Arial" w:ascii="Arial" w:hAnsi="Arial"/>
                <w:b/>
                <w:sz w:val="22"/>
                <w:szCs w:val="22"/>
                <w:u w:val="single"/>
                <w:lang w:val="en-GB"/>
              </w:rPr>
              <w:t>notices</w:t>
            </w:r>
            <w:r>
              <w:rPr>
                <w:rFonts w:cs="Arial" w:ascii="Arial" w:hAnsi="Arial"/>
                <w:sz w:val="22"/>
                <w:szCs w:val="22"/>
                <w:lang w:val="en-GB"/>
              </w:rPr>
              <w:t>, the Procuring Entity’s contact details shall be:</w:t>
            </w:r>
          </w:p>
          <w:p>
            <w:pPr>
              <w:pStyle w:val="Normal"/>
              <w:widowControl w:val="false"/>
              <w:tabs>
                <w:tab w:val="clear" w:pos="720"/>
                <w:tab w:val="right" w:pos="7164" w:leader="none"/>
              </w:tabs>
              <w:spacing w:before="120" w:after="120"/>
              <w:rPr>
                <w:rFonts w:ascii="Arial" w:hAnsi="Arial" w:cs="Arial"/>
                <w:sz w:val="22"/>
                <w:szCs w:val="22"/>
                <w:lang w:val="en-GB"/>
              </w:rPr>
            </w:pPr>
            <w:r>
              <w:rPr>
                <w:rFonts w:cs="Arial" w:ascii="Arial" w:hAnsi="Arial"/>
                <w:sz w:val="22"/>
                <w:szCs w:val="22"/>
                <w:lang w:val="en-GB"/>
              </w:rPr>
              <w:t xml:space="preserve">Attention: </w:t>
            </w:r>
            <w:r>
              <w:rPr>
                <w:rFonts w:eastAsia="Times New Roman" w:cs="Arial" w:ascii="Arial" w:hAnsi="Arial"/>
                <w:b/>
                <w:sz w:val="22"/>
                <w:szCs w:val="22"/>
                <w:lang w:val="en-GB"/>
              </w:rPr>
              <w:t>Professor Dr. Md. Mustafizur Rahman</w:t>
            </w:r>
          </w:p>
          <w:p>
            <w:pPr>
              <w:pStyle w:val="Normal"/>
              <w:widowControl w:val="false"/>
              <w:tabs>
                <w:tab w:val="clear" w:pos="720"/>
                <w:tab w:val="right" w:pos="7164" w:leader="none"/>
              </w:tabs>
              <w:spacing w:before="120" w:after="120"/>
              <w:rPr>
                <w:rFonts w:ascii="Arial" w:hAnsi="Arial" w:cs="Arial"/>
                <w:sz w:val="22"/>
                <w:szCs w:val="22"/>
                <w:lang w:val="en-GB"/>
              </w:rPr>
            </w:pPr>
            <w:r>
              <w:rPr>
                <w:rFonts w:cs="Arial" w:ascii="Arial" w:hAnsi="Arial"/>
                <w:sz w:val="22"/>
                <w:szCs w:val="22"/>
                <w:lang w:val="en-GB"/>
              </w:rPr>
              <w:t xml:space="preserve">Address: </w:t>
            </w:r>
            <w:r>
              <w:rPr>
                <w:rFonts w:eastAsia="Times New Roman" w:cs="Arial" w:ascii="Arial" w:hAnsi="Arial"/>
                <w:sz w:val="22"/>
                <w:szCs w:val="22"/>
                <w:lang w:val="en-GB"/>
              </w:rPr>
              <w:t>Central Admission Office, 214, Registrar Office, University of Dhaka</w:t>
            </w:r>
          </w:p>
          <w:p>
            <w:pPr>
              <w:pStyle w:val="Normal"/>
              <w:widowControl w:val="false"/>
              <w:tabs>
                <w:tab w:val="clear" w:pos="720"/>
                <w:tab w:val="right" w:pos="7164" w:leader="none"/>
              </w:tabs>
              <w:spacing w:before="120" w:after="120"/>
              <w:rPr>
                <w:rFonts w:ascii="Arial" w:hAnsi="Arial" w:cs="Arial"/>
                <w:sz w:val="22"/>
                <w:szCs w:val="22"/>
                <w:lang w:val="en-GB"/>
              </w:rPr>
            </w:pPr>
            <w:r>
              <w:rPr>
                <w:rFonts w:cs="Arial" w:ascii="Arial" w:hAnsi="Arial"/>
                <w:sz w:val="22"/>
                <w:szCs w:val="22"/>
                <w:lang w:val="en-GB"/>
              </w:rPr>
              <w:t xml:space="preserve">Telephone: </w:t>
            </w:r>
            <w:r>
              <w:rPr>
                <w:rFonts w:eastAsia="Times New Roman" w:cs="Arial" w:ascii="Arial" w:hAnsi="Arial"/>
                <w:sz w:val="22"/>
                <w:szCs w:val="22"/>
                <w:lang w:val="en-GB"/>
              </w:rPr>
              <w:t>55167804/9661900-59 (4052)</w:t>
            </w:r>
          </w:p>
          <w:p>
            <w:pPr>
              <w:pStyle w:val="Normal"/>
              <w:widowControl w:val="false"/>
              <w:tabs>
                <w:tab w:val="clear" w:pos="720"/>
                <w:tab w:val="right" w:pos="7164" w:leader="none"/>
              </w:tabs>
              <w:spacing w:before="120" w:after="120"/>
              <w:rPr>
                <w:rFonts w:ascii="Arial" w:hAnsi="Arial" w:cs="Arial"/>
                <w:sz w:val="22"/>
                <w:szCs w:val="22"/>
                <w:lang w:val="en-GB"/>
              </w:rPr>
            </w:pPr>
            <w:r>
              <w:rPr>
                <w:rFonts w:cs="Arial" w:ascii="Arial" w:hAnsi="Arial"/>
                <w:sz w:val="22"/>
                <w:szCs w:val="22"/>
                <w:lang w:val="en-GB"/>
              </w:rPr>
              <w:t xml:space="preserve">Electronic mail address: </w:t>
            </w:r>
            <w:r>
              <w:rPr>
                <w:rFonts w:eastAsia="Times New Roman" w:cs="Arial" w:ascii="Arial" w:hAnsi="Arial"/>
                <w:sz w:val="22"/>
                <w:szCs w:val="22"/>
                <w:lang w:val="en-GB"/>
              </w:rPr>
              <w:t>admission@eis.du.ac.bd</w:t>
            </w:r>
          </w:p>
        </w:tc>
      </w:tr>
      <w:tr>
        <w:trPr>
          <w:trHeight w:val="2127" w:hRule="atLeast"/>
          <w:cantSplit w:val="true"/>
        </w:trPr>
        <w:tc>
          <w:tcPr>
            <w:tcW w:w="197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Arial" w:hAnsi="Arial" w:cs="Arial"/>
                <w:b/>
                <w:b/>
                <w:sz w:val="21"/>
                <w:szCs w:val="21"/>
                <w:lang w:val="en-GB"/>
              </w:rPr>
            </w:pPr>
            <w:r>
              <w:rPr>
                <w:rFonts w:cs="Arial" w:ascii="Arial" w:hAnsi="Arial"/>
                <w:b/>
                <w:sz w:val="21"/>
                <w:szCs w:val="21"/>
                <w:lang w:val="en-GB"/>
              </w:rPr>
            </w:r>
          </w:p>
        </w:tc>
        <w:tc>
          <w:tcPr>
            <w:tcW w:w="7741" w:type="dxa"/>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20"/>
                <w:tab w:val="right" w:pos="7164" w:leader="none"/>
              </w:tabs>
              <w:spacing w:before="120" w:after="120"/>
              <w:rPr>
                <w:rFonts w:ascii="Arial" w:hAnsi="Arial" w:cs="Arial"/>
                <w:sz w:val="22"/>
                <w:szCs w:val="22"/>
                <w:lang w:val="en-GB"/>
              </w:rPr>
            </w:pPr>
            <w:r>
              <w:rPr>
                <w:rFonts w:cs="Arial" w:ascii="Arial" w:hAnsi="Arial"/>
                <w:sz w:val="22"/>
                <w:szCs w:val="22"/>
                <w:lang w:val="en-GB"/>
              </w:rPr>
              <w:t xml:space="preserve">For </w:t>
            </w:r>
            <w:r>
              <w:rPr>
                <w:rFonts w:cs="Arial" w:ascii="Arial" w:hAnsi="Arial"/>
                <w:b/>
                <w:sz w:val="22"/>
                <w:szCs w:val="22"/>
                <w:u w:val="single"/>
                <w:lang w:val="en-GB"/>
              </w:rPr>
              <w:t>notices</w:t>
            </w:r>
            <w:r>
              <w:rPr>
                <w:rFonts w:cs="Arial" w:ascii="Arial" w:hAnsi="Arial"/>
                <w:sz w:val="22"/>
                <w:szCs w:val="22"/>
                <w:lang w:val="en-GB"/>
              </w:rPr>
              <w:t>, the Supplier’s contact details shall be:</w:t>
            </w:r>
          </w:p>
          <w:p>
            <w:pPr>
              <w:pStyle w:val="Normal"/>
              <w:widowControl w:val="false"/>
              <w:tabs>
                <w:tab w:val="clear" w:pos="720"/>
                <w:tab w:val="right" w:pos="7164" w:leader="none"/>
              </w:tabs>
              <w:spacing w:before="120" w:after="120"/>
              <w:rPr>
                <w:rFonts w:ascii="Arial" w:hAnsi="Arial" w:cs="Arial"/>
                <w:sz w:val="22"/>
                <w:szCs w:val="22"/>
                <w:lang w:val="en-GB"/>
              </w:rPr>
            </w:pPr>
            <w:r>
              <w:rPr>
                <w:rFonts w:cs="Arial" w:ascii="Arial" w:hAnsi="Arial"/>
                <w:sz w:val="22"/>
                <w:szCs w:val="22"/>
                <w:lang w:val="en-GB"/>
              </w:rPr>
              <w:t>Attention:</w:t>
            </w:r>
          </w:p>
          <w:p>
            <w:pPr>
              <w:pStyle w:val="Normal"/>
              <w:widowControl w:val="false"/>
              <w:tabs>
                <w:tab w:val="clear" w:pos="720"/>
                <w:tab w:val="right" w:pos="7164" w:leader="none"/>
              </w:tabs>
              <w:spacing w:before="120" w:after="120"/>
              <w:rPr>
                <w:rFonts w:ascii="Arial" w:hAnsi="Arial" w:cs="Arial"/>
                <w:sz w:val="22"/>
                <w:szCs w:val="22"/>
                <w:lang w:val="en-GB"/>
              </w:rPr>
            </w:pPr>
            <w:r>
              <w:rPr>
                <w:rFonts w:cs="Arial" w:ascii="Arial" w:hAnsi="Arial"/>
                <w:sz w:val="22"/>
                <w:szCs w:val="22"/>
                <w:lang w:val="en-GB"/>
              </w:rPr>
              <w:t>Address:</w:t>
            </w:r>
          </w:p>
          <w:p>
            <w:pPr>
              <w:pStyle w:val="Normal"/>
              <w:widowControl w:val="false"/>
              <w:tabs>
                <w:tab w:val="clear" w:pos="720"/>
                <w:tab w:val="right" w:pos="7164" w:leader="none"/>
              </w:tabs>
              <w:spacing w:before="120" w:after="120"/>
              <w:rPr>
                <w:rFonts w:ascii="Arial" w:hAnsi="Arial" w:cs="Arial"/>
                <w:sz w:val="22"/>
                <w:szCs w:val="22"/>
                <w:lang w:val="en-GB"/>
              </w:rPr>
            </w:pPr>
            <w:r>
              <w:rPr>
                <w:rFonts w:cs="Arial" w:ascii="Arial" w:hAnsi="Arial"/>
                <w:sz w:val="22"/>
                <w:szCs w:val="22"/>
                <w:lang w:val="en-GB"/>
              </w:rPr>
              <w:t>Telephone:</w:t>
            </w:r>
          </w:p>
          <w:p>
            <w:pPr>
              <w:pStyle w:val="Normal"/>
              <w:widowControl w:val="false"/>
              <w:tabs>
                <w:tab w:val="clear" w:pos="720"/>
                <w:tab w:val="right" w:pos="7164" w:leader="none"/>
              </w:tabs>
              <w:spacing w:before="120" w:after="120"/>
              <w:rPr>
                <w:rFonts w:ascii="Arial" w:hAnsi="Arial" w:cs="Arial"/>
                <w:sz w:val="22"/>
                <w:szCs w:val="22"/>
                <w:lang w:val="en-GB"/>
              </w:rPr>
            </w:pPr>
            <w:r>
              <w:rPr>
                <w:rFonts w:cs="Arial" w:ascii="Arial" w:hAnsi="Arial"/>
                <w:sz w:val="22"/>
                <w:szCs w:val="22"/>
                <w:lang w:val="en-GB"/>
              </w:rPr>
              <w:t>Facsimile number:</w:t>
            </w:r>
          </w:p>
          <w:p>
            <w:pPr>
              <w:pStyle w:val="Normal"/>
              <w:widowControl w:val="false"/>
              <w:tabs>
                <w:tab w:val="clear" w:pos="720"/>
                <w:tab w:val="right" w:pos="7164" w:leader="none"/>
              </w:tabs>
              <w:spacing w:before="120" w:after="120"/>
              <w:rPr>
                <w:rFonts w:ascii="Arial" w:hAnsi="Arial" w:cs="Arial"/>
                <w:sz w:val="22"/>
                <w:szCs w:val="22"/>
                <w:lang w:val="en-GB"/>
              </w:rPr>
            </w:pPr>
            <w:r>
              <w:rPr>
                <w:rFonts w:cs="Arial" w:ascii="Arial" w:hAnsi="Arial"/>
                <w:sz w:val="22"/>
                <w:szCs w:val="22"/>
                <w:lang w:val="en-GB"/>
              </w:rPr>
              <w:t>Electronic mail address:</w:t>
            </w:r>
          </w:p>
        </w:tc>
      </w:tr>
      <w:tr>
        <w:trPr/>
        <w:tc>
          <w:tcPr>
            <w:tcW w:w="1978"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Arial" w:hAnsi="Arial" w:cs="Arial"/>
                <w:b/>
                <w:b/>
                <w:sz w:val="22"/>
                <w:szCs w:val="22"/>
                <w:lang w:val="en-GB"/>
              </w:rPr>
            </w:pPr>
            <w:r>
              <w:rPr>
                <w:rFonts w:cs="Arial" w:ascii="Arial" w:hAnsi="Arial"/>
                <w:b/>
                <w:sz w:val="22"/>
                <w:szCs w:val="22"/>
                <w:lang w:val="en-GB"/>
              </w:rPr>
              <w:t>GCC 7.1(i)</w:t>
            </w:r>
          </w:p>
        </w:tc>
        <w:tc>
          <w:tcPr>
            <w:tcW w:w="7741" w:type="dxa"/>
            <w:tcBorders>
              <w:top w:val="single" w:sz="6" w:space="0" w:color="000000"/>
              <w:left w:val="single" w:sz="6" w:space="0" w:color="000000"/>
              <w:bottom w:val="single" w:sz="6" w:space="0" w:color="000000"/>
              <w:right w:val="single" w:sz="6" w:space="0" w:color="000000"/>
            </w:tcBorders>
          </w:tcPr>
          <w:p>
            <w:pPr>
              <w:pStyle w:val="BodyText3"/>
              <w:widowControl w:val="false"/>
              <w:tabs>
                <w:tab w:val="clear" w:pos="7254"/>
                <w:tab w:val="right" w:pos="7164" w:leader="none"/>
              </w:tabs>
              <w:spacing w:before="120" w:after="120"/>
              <w:jc w:val="both"/>
              <w:rPr>
                <w:rFonts w:ascii="Arial" w:hAnsi="Arial" w:cs="Arial"/>
                <w:color w:val="auto"/>
                <w:sz w:val="22"/>
                <w:szCs w:val="22"/>
                <w:lang w:val="en-GB"/>
              </w:rPr>
            </w:pPr>
            <w:r>
              <w:rPr>
                <w:rFonts w:cs="Arial" w:ascii="Arial" w:hAnsi="Arial"/>
                <w:i w:val="false"/>
                <w:color w:val="auto"/>
                <w:sz w:val="22"/>
                <w:szCs w:val="22"/>
                <w:lang w:val="en-GB"/>
              </w:rPr>
              <w:t>The following documents shall also be part of the Contract</w:t>
            </w:r>
            <w:r>
              <w:rPr>
                <w:rFonts w:cs="Arial" w:ascii="Arial" w:hAnsi="Arial"/>
                <w:color w:val="auto"/>
                <w:sz w:val="22"/>
                <w:szCs w:val="22"/>
                <w:lang w:val="en-GB"/>
              </w:rPr>
              <w:t>:</w:t>
            </w:r>
          </w:p>
          <w:p>
            <w:pPr>
              <w:pStyle w:val="BodyText3"/>
              <w:widowControl w:val="false"/>
              <w:numPr>
                <w:ilvl w:val="3"/>
                <w:numId w:val="61"/>
              </w:numPr>
              <w:tabs>
                <w:tab w:val="right" w:pos="7164" w:leader="none"/>
                <w:tab w:val="right" w:pos="7254" w:leader="none"/>
              </w:tabs>
              <w:spacing w:before="0" w:after="0"/>
              <w:ind w:left="342" w:hanging="360"/>
              <w:jc w:val="both"/>
              <w:rPr>
                <w:rFonts w:ascii="Arial" w:hAnsi="Arial" w:cs="Arial"/>
                <w:i w:val="false"/>
                <w:i w:val="false"/>
                <w:color w:val="auto"/>
                <w:sz w:val="22"/>
                <w:szCs w:val="22"/>
                <w:lang w:val="en-GB"/>
              </w:rPr>
            </w:pPr>
            <w:r>
              <w:rPr>
                <w:rFonts w:cs="Arial" w:ascii="Arial" w:hAnsi="Arial"/>
                <w:i w:val="false"/>
                <w:color w:val="auto"/>
                <w:sz w:val="22"/>
                <w:szCs w:val="22"/>
                <w:lang w:val="en-GB"/>
              </w:rPr>
              <w:t>Up to date Trade License</w:t>
            </w:r>
          </w:p>
          <w:p>
            <w:pPr>
              <w:pStyle w:val="BodyText3"/>
              <w:widowControl w:val="false"/>
              <w:numPr>
                <w:ilvl w:val="3"/>
                <w:numId w:val="61"/>
              </w:numPr>
              <w:tabs>
                <w:tab w:val="right" w:pos="7164" w:leader="none"/>
                <w:tab w:val="right" w:pos="7254" w:leader="none"/>
              </w:tabs>
              <w:spacing w:before="0" w:after="0"/>
              <w:ind w:left="342" w:hanging="360"/>
              <w:jc w:val="both"/>
              <w:rPr>
                <w:rFonts w:ascii="Arial" w:hAnsi="Arial" w:cs="Arial"/>
                <w:i w:val="false"/>
                <w:i w:val="false"/>
                <w:color w:val="auto"/>
                <w:sz w:val="22"/>
                <w:szCs w:val="22"/>
                <w:lang w:val="en-GB"/>
              </w:rPr>
            </w:pPr>
            <w:r>
              <w:rPr>
                <w:rFonts w:cs="Arial" w:ascii="Arial" w:hAnsi="Arial"/>
                <w:i w:val="false"/>
                <w:color w:val="auto"/>
                <w:sz w:val="22"/>
                <w:szCs w:val="22"/>
                <w:lang w:val="en-GB"/>
              </w:rPr>
              <w:t>Up to date VAT Registration Certificate</w:t>
            </w:r>
          </w:p>
          <w:p>
            <w:pPr>
              <w:pStyle w:val="BodyText3"/>
              <w:widowControl w:val="false"/>
              <w:numPr>
                <w:ilvl w:val="3"/>
                <w:numId w:val="61"/>
              </w:numPr>
              <w:tabs>
                <w:tab w:val="right" w:pos="7164" w:leader="none"/>
                <w:tab w:val="right" w:pos="7254" w:leader="none"/>
              </w:tabs>
              <w:spacing w:before="0" w:after="0"/>
              <w:ind w:left="342" w:hanging="360"/>
              <w:jc w:val="both"/>
              <w:rPr>
                <w:rFonts w:ascii="Arial" w:hAnsi="Arial" w:cs="Arial"/>
                <w:i w:val="false"/>
                <w:i w:val="false"/>
                <w:color w:val="auto"/>
                <w:sz w:val="22"/>
                <w:szCs w:val="22"/>
                <w:lang w:val="en-GB"/>
              </w:rPr>
            </w:pPr>
            <w:r>
              <w:rPr>
                <w:rFonts w:cs="Arial" w:ascii="Arial" w:hAnsi="Arial"/>
                <w:i w:val="false"/>
                <w:color w:val="auto"/>
                <w:sz w:val="22"/>
                <w:szCs w:val="22"/>
                <w:lang w:val="en-GB"/>
              </w:rPr>
              <w:t>Up to date Income Tax Clearance Certificate</w:t>
            </w:r>
          </w:p>
          <w:p>
            <w:pPr>
              <w:pStyle w:val="BodyText3"/>
              <w:widowControl w:val="false"/>
              <w:numPr>
                <w:ilvl w:val="3"/>
                <w:numId w:val="61"/>
              </w:numPr>
              <w:tabs>
                <w:tab w:val="right" w:pos="7164" w:leader="none"/>
                <w:tab w:val="right" w:pos="7254" w:leader="none"/>
              </w:tabs>
              <w:spacing w:before="0" w:after="0"/>
              <w:ind w:left="342" w:hanging="360"/>
              <w:jc w:val="both"/>
              <w:rPr>
                <w:rFonts w:ascii="Arial" w:hAnsi="Arial" w:cs="Arial"/>
                <w:i w:val="false"/>
                <w:i w:val="false"/>
                <w:color w:val="auto"/>
                <w:sz w:val="22"/>
                <w:szCs w:val="22"/>
                <w:lang w:val="en-GB"/>
              </w:rPr>
            </w:pPr>
            <w:r>
              <w:rPr>
                <w:rFonts w:cs="Arial" w:ascii="Arial" w:hAnsi="Arial"/>
                <w:i w:val="false"/>
                <w:color w:val="auto"/>
                <w:sz w:val="22"/>
                <w:szCs w:val="22"/>
                <w:lang w:val="en-GB"/>
              </w:rPr>
              <w:t>Bank Solvency Certificate</w:t>
            </w:r>
          </w:p>
          <w:p>
            <w:pPr>
              <w:pStyle w:val="BodyText3"/>
              <w:widowControl w:val="false"/>
              <w:numPr>
                <w:ilvl w:val="3"/>
                <w:numId w:val="61"/>
              </w:numPr>
              <w:tabs>
                <w:tab w:val="right" w:pos="7164" w:leader="none"/>
                <w:tab w:val="right" w:pos="7254" w:leader="none"/>
              </w:tabs>
              <w:spacing w:before="0" w:after="0"/>
              <w:ind w:left="342" w:hanging="360"/>
              <w:jc w:val="both"/>
              <w:rPr>
                <w:rFonts w:ascii="Arial" w:hAnsi="Arial" w:cs="Arial"/>
                <w:i w:val="false"/>
                <w:i w:val="false"/>
                <w:color w:val="auto"/>
                <w:sz w:val="22"/>
                <w:szCs w:val="22"/>
                <w:lang w:val="en-GB"/>
              </w:rPr>
            </w:pPr>
            <w:r>
              <w:rPr>
                <w:rFonts w:cs="Arial" w:ascii="Arial" w:hAnsi="Arial"/>
                <w:i w:val="false"/>
                <w:color w:val="auto"/>
                <w:sz w:val="22"/>
                <w:szCs w:val="22"/>
                <w:lang w:val="en-GB"/>
              </w:rPr>
              <w:t>Proof of</w:t>
            </w:r>
            <w:r>
              <w:rPr>
                <w:rFonts w:cs="Arial" w:ascii="Arial" w:hAnsi="Arial"/>
                <w:i w:val="false"/>
                <w:color w:val="auto"/>
                <w:sz w:val="22"/>
                <w:szCs w:val="22"/>
                <w:lang w:val="en-GB"/>
              </w:rPr>
              <w:t xml:space="preserve"> owner</w:t>
            </w:r>
            <w:r>
              <w:rPr>
                <w:rFonts w:cs="Arial" w:ascii="Arial" w:hAnsi="Arial"/>
                <w:i w:val="false"/>
                <w:color w:val="auto"/>
                <w:sz w:val="22"/>
                <w:szCs w:val="22"/>
                <w:lang w:val="en-GB"/>
              </w:rPr>
              <w:t>ship</w:t>
            </w:r>
            <w:r>
              <w:rPr>
                <w:rFonts w:cs="Arial" w:ascii="Arial" w:hAnsi="Arial"/>
                <w:i w:val="false"/>
                <w:color w:val="auto"/>
                <w:sz w:val="22"/>
                <w:szCs w:val="22"/>
                <w:lang w:val="en-GB"/>
              </w:rPr>
              <w:t xml:space="preserve"> of the firm. If the tenderer is </w:t>
            </w:r>
            <w:r>
              <w:rPr>
                <w:rFonts w:cs="Arial" w:ascii="Arial" w:hAnsi="Arial"/>
                <w:i w:val="false"/>
                <w:color w:val="auto"/>
                <w:sz w:val="22"/>
                <w:szCs w:val="22"/>
                <w:lang w:val="en-GB"/>
              </w:rPr>
              <w:t>a</w:t>
            </w:r>
            <w:r>
              <w:rPr>
                <w:rFonts w:cs="Arial" w:ascii="Arial" w:hAnsi="Arial"/>
                <w:i w:val="false"/>
                <w:color w:val="auto"/>
                <w:sz w:val="22"/>
                <w:szCs w:val="22"/>
                <w:lang w:val="en-GB"/>
              </w:rPr>
              <w:t xml:space="preserve"> Representative of the firm then he/she </w:t>
            </w:r>
            <w:r>
              <w:rPr>
                <w:rFonts w:cs="Arial" w:ascii="Arial" w:hAnsi="Arial"/>
                <w:i w:val="false"/>
                <w:color w:val="auto"/>
                <w:sz w:val="22"/>
                <w:szCs w:val="22"/>
                <w:lang w:val="en-GB"/>
              </w:rPr>
              <w:t>MUST</w:t>
            </w:r>
            <w:r>
              <w:rPr>
                <w:rFonts w:cs="Arial" w:ascii="Arial" w:hAnsi="Arial"/>
                <w:i w:val="false"/>
                <w:color w:val="auto"/>
                <w:sz w:val="22"/>
                <w:szCs w:val="22"/>
                <w:lang w:val="en-GB"/>
              </w:rPr>
              <w:t xml:space="preserve"> be authorized by the owner of the Firm (signature with name and seal of the owner).</w:t>
            </w:r>
          </w:p>
          <w:p>
            <w:pPr>
              <w:pStyle w:val="BodyText3"/>
              <w:widowControl w:val="false"/>
              <w:numPr>
                <w:ilvl w:val="3"/>
                <w:numId w:val="61"/>
              </w:numPr>
              <w:tabs>
                <w:tab w:val="right" w:pos="7164" w:leader="none"/>
                <w:tab w:val="right" w:pos="7254" w:leader="none"/>
              </w:tabs>
              <w:spacing w:before="0" w:after="0"/>
              <w:ind w:left="342" w:hanging="360"/>
              <w:jc w:val="both"/>
              <w:rPr>
                <w:rFonts w:ascii="Arial" w:hAnsi="Arial" w:cs="Arial"/>
                <w:i w:val="false"/>
                <w:i w:val="false"/>
                <w:color w:val="auto"/>
                <w:sz w:val="22"/>
                <w:szCs w:val="22"/>
                <w:lang w:val="en-GB"/>
              </w:rPr>
            </w:pPr>
            <w:r>
              <w:rPr>
                <w:rFonts w:cs="Arial" w:ascii="Arial" w:hAnsi="Arial"/>
                <w:i w:val="false"/>
                <w:color w:val="auto"/>
                <w:sz w:val="22"/>
                <w:szCs w:val="22"/>
                <w:lang w:val="en-GB"/>
              </w:rPr>
              <w:t xml:space="preserve">At least one (1) experience certificate </w:t>
            </w:r>
            <w:r>
              <w:rPr>
                <w:rFonts w:cs="Arial" w:ascii="Arial" w:hAnsi="Arial"/>
                <w:i w:val="false"/>
                <w:color w:val="auto"/>
                <w:sz w:val="22"/>
                <w:szCs w:val="22"/>
                <w:lang w:val="en-GB"/>
              </w:rPr>
              <w:t>for</w:t>
            </w:r>
            <w:r>
              <w:rPr>
                <w:rFonts w:cs="Arial" w:ascii="Arial" w:hAnsi="Arial"/>
                <w:i w:val="false"/>
                <w:color w:val="auto"/>
                <w:sz w:val="22"/>
                <w:szCs w:val="22"/>
                <w:lang w:val="en-GB"/>
              </w:rPr>
              <w:t xml:space="preserve"> </w:t>
            </w:r>
            <w:r>
              <w:rPr>
                <w:rFonts w:cs="Arial" w:ascii="Arial" w:hAnsi="Arial"/>
                <w:i w:val="false"/>
                <w:color w:val="auto"/>
                <w:sz w:val="22"/>
                <w:szCs w:val="22"/>
                <w:lang w:val="en-GB"/>
              </w:rPr>
              <w:t xml:space="preserve">supplying </w:t>
            </w:r>
            <w:r>
              <w:rPr>
                <w:rFonts w:cs="Arial" w:ascii="Arial" w:hAnsi="Arial"/>
                <w:i w:val="false"/>
                <w:color w:val="auto"/>
                <w:sz w:val="22"/>
                <w:szCs w:val="22"/>
                <w:lang w:val="en-GB"/>
              </w:rPr>
              <w:t>similar goods having value of 14 lacs for Lot-1, and 28 lacs for lot-2 in single tender during the last 5 years as mentioned in TDS.</w:t>
            </w:r>
          </w:p>
          <w:p>
            <w:pPr>
              <w:pStyle w:val="BodyText3"/>
              <w:widowControl w:val="false"/>
              <w:numPr>
                <w:ilvl w:val="3"/>
                <w:numId w:val="61"/>
              </w:numPr>
              <w:tabs>
                <w:tab w:val="right" w:pos="7164" w:leader="none"/>
                <w:tab w:val="right" w:pos="7254" w:leader="none"/>
              </w:tabs>
              <w:spacing w:before="0" w:after="0"/>
              <w:ind w:left="342" w:hanging="360"/>
              <w:jc w:val="both"/>
              <w:rPr>
                <w:rFonts w:ascii="Arial" w:hAnsi="Arial" w:cs="Arial"/>
                <w:color w:val="auto"/>
                <w:sz w:val="22"/>
                <w:szCs w:val="22"/>
                <w:lang w:val="en-GB"/>
              </w:rPr>
            </w:pPr>
            <w:r>
              <w:rPr>
                <w:rFonts w:cs="Arial" w:ascii="Arial" w:hAnsi="Arial"/>
                <w:i w:val="false"/>
                <w:color w:val="auto"/>
                <w:sz w:val="22"/>
                <w:szCs w:val="22"/>
                <w:lang w:val="en-GB"/>
              </w:rPr>
              <w:t>Certificate of</w:t>
            </w:r>
            <w:r>
              <w:rPr>
                <w:rFonts w:cs="Arial" w:ascii="Arial" w:hAnsi="Arial"/>
                <w:i w:val="false"/>
                <w:color w:val="auto"/>
                <w:sz w:val="22"/>
                <w:szCs w:val="22"/>
                <w:lang w:val="en-GB"/>
              </w:rPr>
              <w:t xml:space="preserve"> the partner/distributor/agent -</w:t>
            </w:r>
            <w:r>
              <w:rPr>
                <w:rFonts w:cs="Arial" w:ascii="Arial" w:hAnsi="Arial"/>
                <w:i w:val="false"/>
                <w:color w:val="auto"/>
                <w:sz w:val="22"/>
                <w:szCs w:val="22"/>
                <w:lang w:val="en-GB"/>
              </w:rPr>
              <w:t>ship</w:t>
            </w:r>
            <w:r>
              <w:rPr>
                <w:rFonts w:cs="Arial" w:ascii="Arial" w:hAnsi="Arial"/>
                <w:i w:val="false"/>
                <w:color w:val="auto"/>
                <w:sz w:val="22"/>
                <w:szCs w:val="22"/>
                <w:lang w:val="en-GB"/>
              </w:rPr>
              <w:t xml:space="preserve"> </w:t>
            </w:r>
            <w:r>
              <w:rPr>
                <w:rFonts w:cs="Arial" w:ascii="Arial" w:hAnsi="Arial"/>
                <w:i w:val="false"/>
                <w:color w:val="auto"/>
                <w:sz w:val="22"/>
                <w:szCs w:val="22"/>
                <w:lang w:val="en-GB"/>
              </w:rPr>
              <w:t xml:space="preserve">issued by the </w:t>
            </w:r>
            <w:r>
              <w:rPr>
                <w:rFonts w:cs="Arial" w:ascii="Arial" w:hAnsi="Arial"/>
                <w:i w:val="false"/>
                <w:color w:val="auto"/>
                <w:sz w:val="22"/>
                <w:szCs w:val="22"/>
                <w:lang w:val="en-GB"/>
              </w:rPr>
              <w:t xml:space="preserve">manufacturer </w:t>
            </w:r>
            <w:r>
              <w:rPr>
                <w:rFonts w:cs="Arial" w:ascii="Arial" w:hAnsi="Arial"/>
                <w:i w:val="false"/>
                <w:color w:val="auto"/>
                <w:sz w:val="22"/>
                <w:szCs w:val="22"/>
                <w:lang w:val="en-GB"/>
              </w:rPr>
              <w:t xml:space="preserve">of </w:t>
            </w:r>
            <w:r>
              <w:rPr>
                <w:rFonts w:cs="Arial" w:ascii="Arial" w:hAnsi="Arial"/>
                <w:i w:val="false"/>
                <w:color w:val="auto"/>
                <w:sz w:val="22"/>
                <w:szCs w:val="22"/>
                <w:lang w:val="en-GB"/>
              </w:rPr>
              <w:t xml:space="preserve">the items in Lot-1. </w:t>
            </w:r>
            <w:r>
              <w:rPr>
                <w:rFonts w:cs="Arial" w:ascii="Arial" w:hAnsi="Arial"/>
                <w:i w:val="false"/>
                <w:color w:val="auto"/>
                <w:sz w:val="22"/>
                <w:szCs w:val="22"/>
                <w:lang w:val="en-GB"/>
              </w:rPr>
              <w:t>This certificate is not required for the item(s) in Lot-2.</w:t>
            </w:r>
          </w:p>
          <w:p>
            <w:pPr>
              <w:pStyle w:val="BodyText3"/>
              <w:widowControl w:val="false"/>
              <w:numPr>
                <w:ilvl w:val="3"/>
                <w:numId w:val="61"/>
              </w:numPr>
              <w:tabs>
                <w:tab w:val="right" w:pos="7164" w:leader="none"/>
                <w:tab w:val="right" w:pos="7254" w:leader="none"/>
              </w:tabs>
              <w:spacing w:before="0" w:after="0"/>
              <w:ind w:left="342" w:hanging="360"/>
              <w:jc w:val="both"/>
              <w:rPr>
                <w:rFonts w:ascii="Arial" w:hAnsi="Arial" w:cs="Arial"/>
                <w:color w:val="auto"/>
                <w:sz w:val="22"/>
                <w:szCs w:val="22"/>
                <w:lang w:val="en-GB"/>
              </w:rPr>
            </w:pPr>
            <w:r>
              <w:rPr>
                <w:rFonts w:cs="Arial" w:ascii="Arial" w:hAnsi="Arial"/>
                <w:i w:val="false"/>
                <w:color w:val="auto"/>
                <w:sz w:val="22"/>
                <w:szCs w:val="22"/>
                <w:lang w:val="en-GB"/>
              </w:rPr>
              <w:t>A certificate from the firm mentioning the address of the technical support office of the tenderer and list of engineers working therein to provide technical supports and warranties for the items listed in Lot-1. This document is not required for items mentioned in Lot-2.</w:t>
            </w:r>
          </w:p>
        </w:tc>
      </w:tr>
      <w:tr>
        <w:trPr/>
        <w:tc>
          <w:tcPr>
            <w:tcW w:w="1978"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Arial" w:hAnsi="Arial" w:cs="Arial"/>
                <w:b/>
                <w:b/>
                <w:sz w:val="22"/>
                <w:szCs w:val="22"/>
                <w:lang w:val="en-GB"/>
              </w:rPr>
            </w:pPr>
            <w:r>
              <w:rPr>
                <w:rFonts w:cs="Arial" w:ascii="Arial" w:hAnsi="Arial"/>
                <w:b/>
                <w:sz w:val="22"/>
                <w:szCs w:val="22"/>
                <w:lang w:val="en-GB"/>
              </w:rPr>
              <w:t>GCC 8.1</w:t>
            </w:r>
          </w:p>
        </w:tc>
        <w:tc>
          <w:tcPr>
            <w:tcW w:w="7741" w:type="dxa"/>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20"/>
                <w:tab w:val="left" w:pos="432" w:leader="none"/>
              </w:tabs>
              <w:ind w:left="432" w:right="-108" w:hanging="432"/>
              <w:jc w:val="both"/>
              <w:rPr>
                <w:color w:val="auto"/>
              </w:rPr>
            </w:pPr>
            <w:r>
              <w:rPr>
                <w:rFonts w:cs="Calibri" w:cstheme="minorHAnsi"/>
                <w:color w:val="auto"/>
                <w:sz w:val="20"/>
                <w:szCs w:val="20"/>
              </w:rPr>
              <w:t xml:space="preserve">(viii) </w:t>
            </w:r>
            <w:r>
              <w:rPr>
                <w:rFonts w:cs="Calibri" w:cstheme="minorHAnsi"/>
                <w:b/>
                <w:color w:val="auto"/>
                <w:spacing w:val="-6"/>
                <w:sz w:val="20"/>
                <w:szCs w:val="20"/>
              </w:rPr>
              <w:t>Warranty:</w:t>
            </w:r>
            <w:r>
              <w:rPr>
                <w:rFonts w:cs="Calibri" w:cstheme="minorHAnsi"/>
                <w:color w:val="auto"/>
                <w:spacing w:val="-6"/>
                <w:sz w:val="20"/>
                <w:szCs w:val="20"/>
              </w:rPr>
              <w:t xml:space="preserve"> </w:t>
            </w:r>
            <w:r>
              <w:rPr>
                <w:color w:val="auto"/>
                <w:spacing w:val="-6"/>
                <w:sz w:val="20"/>
                <w:szCs w:val="20"/>
              </w:rPr>
              <w:t>36 moth Within this time any kind of fault fixation will be done by tenderer’s own cost and on call servicing, should be performed at the university of  Dhaka</w:t>
            </w:r>
          </w:p>
        </w:tc>
      </w:tr>
      <w:tr>
        <w:trPr/>
        <w:tc>
          <w:tcPr>
            <w:tcW w:w="1978"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Arial" w:hAnsi="Arial" w:cs="Arial"/>
                <w:b/>
                <w:b/>
                <w:sz w:val="22"/>
                <w:szCs w:val="22"/>
                <w:lang w:val="en-GB"/>
              </w:rPr>
            </w:pPr>
            <w:r>
              <w:rPr>
                <w:rFonts w:cs="Arial" w:ascii="Arial" w:hAnsi="Arial"/>
                <w:b/>
                <w:sz w:val="22"/>
                <w:szCs w:val="22"/>
                <w:lang w:val="en-GB"/>
              </w:rPr>
              <w:t>GCC 20.2</w:t>
            </w:r>
          </w:p>
        </w:tc>
        <w:tc>
          <w:tcPr>
            <w:tcW w:w="7741" w:type="dxa"/>
            <w:tcBorders>
              <w:top w:val="single" w:sz="6" w:space="0" w:color="000000"/>
              <w:left w:val="single" w:sz="6" w:space="0" w:color="000000"/>
              <w:bottom w:val="single" w:sz="6" w:space="0" w:color="000000"/>
              <w:right w:val="single" w:sz="6" w:space="0" w:color="000000"/>
            </w:tcBorders>
          </w:tcPr>
          <w:p>
            <w:pPr>
              <w:pStyle w:val="BodyText3"/>
              <w:widowControl w:val="false"/>
              <w:tabs>
                <w:tab w:val="clear" w:pos="7254"/>
                <w:tab w:val="right" w:pos="7164" w:leader="none"/>
              </w:tabs>
              <w:spacing w:before="120" w:after="120"/>
              <w:jc w:val="both"/>
              <w:rPr>
                <w:rFonts w:ascii="Arial" w:hAnsi="Arial" w:eastAsia="SimSun" w:cs="Arial"/>
                <w:i w:val="false"/>
                <w:i w:val="false"/>
                <w:sz w:val="22"/>
                <w:szCs w:val="22"/>
                <w:lang w:val="en-GB" w:eastAsia="zh-CN"/>
              </w:rPr>
            </w:pPr>
            <w:r>
              <w:rPr>
                <w:rFonts w:cs="Arial" w:ascii="Arial" w:hAnsi="Arial"/>
                <w:i w:val="false"/>
                <w:sz w:val="22"/>
                <w:szCs w:val="22"/>
                <w:lang w:val="en-GB"/>
              </w:rPr>
              <w:t>The packing, marking and documentation inside and outside the packages  shall be</w:t>
            </w:r>
            <w:r>
              <w:rPr>
                <w:rFonts w:cs="Arial" w:ascii="Arial" w:hAnsi="Arial"/>
                <w:sz w:val="22"/>
                <w:szCs w:val="22"/>
                <w:lang w:val="en-GB"/>
              </w:rPr>
              <w:t>:</w:t>
            </w:r>
          </w:p>
          <w:p>
            <w:pPr>
              <w:pStyle w:val="Normal"/>
              <w:widowControl w:val="false"/>
              <w:tabs>
                <w:tab w:val="clear" w:pos="720"/>
                <w:tab w:val="left" w:pos="399" w:leader="none"/>
                <w:tab w:val="right" w:pos="7164" w:leader="none"/>
              </w:tabs>
              <w:spacing w:before="120" w:after="120"/>
              <w:ind w:left="399" w:hanging="399"/>
              <w:jc w:val="both"/>
              <w:rPr>
                <w:rFonts w:ascii="Arial" w:hAnsi="Arial" w:cs="Arial"/>
                <w:sz w:val="22"/>
                <w:szCs w:val="22"/>
                <w:lang w:val="en-GB"/>
              </w:rPr>
            </w:pPr>
            <w:r>
              <w:rPr>
                <w:rFonts w:cs="Arial" w:ascii="Arial" w:hAnsi="Arial"/>
                <w:sz w:val="22"/>
                <w:szCs w:val="22"/>
                <w:lang w:val="en-GB"/>
              </w:rPr>
              <w:t>The outer packing may be clearly marked on at least four slides as follows:</w:t>
            </w:r>
          </w:p>
          <w:p>
            <w:pPr>
              <w:pStyle w:val="Normal"/>
              <w:widowControl w:val="false"/>
              <w:tabs>
                <w:tab w:val="clear" w:pos="720"/>
                <w:tab w:val="left" w:pos="399" w:leader="none"/>
                <w:tab w:val="right" w:pos="7164" w:leader="none"/>
              </w:tabs>
              <w:spacing w:before="120" w:after="120"/>
              <w:ind w:left="399" w:hanging="399"/>
              <w:jc w:val="both"/>
              <w:rPr>
                <w:rFonts w:ascii="Arial" w:hAnsi="Arial" w:cs="Arial"/>
                <w:sz w:val="22"/>
                <w:szCs w:val="22"/>
                <w:lang w:val="en-GB"/>
              </w:rPr>
            </w:pPr>
            <w:r>
              <w:rPr>
                <w:rFonts w:cs="Arial" w:ascii="Arial" w:hAnsi="Arial"/>
                <w:sz w:val="22"/>
                <w:szCs w:val="22"/>
                <w:lang w:val="en-GB"/>
              </w:rPr>
              <w:t>Name and address of Procuring Entity</w:t>
            </w:r>
          </w:p>
          <w:p>
            <w:pPr>
              <w:pStyle w:val="Normal"/>
              <w:widowControl w:val="false"/>
              <w:tabs>
                <w:tab w:val="clear" w:pos="720"/>
                <w:tab w:val="left" w:pos="399" w:leader="none"/>
                <w:tab w:val="right" w:pos="7164" w:leader="none"/>
              </w:tabs>
              <w:spacing w:before="120" w:after="120"/>
              <w:ind w:left="399" w:hanging="399"/>
              <w:jc w:val="both"/>
              <w:rPr>
                <w:rFonts w:ascii="Arial" w:hAnsi="Arial" w:cs="Arial"/>
                <w:sz w:val="22"/>
                <w:szCs w:val="22"/>
                <w:lang w:val="en-GB"/>
              </w:rPr>
            </w:pPr>
            <w:r>
              <w:rPr>
                <w:rFonts w:cs="Arial" w:ascii="Arial" w:hAnsi="Arial"/>
                <w:sz w:val="22"/>
                <w:szCs w:val="22"/>
                <w:lang w:val="en-GB"/>
              </w:rPr>
              <w:t>Name of the Supplier</w:t>
            </w:r>
          </w:p>
          <w:p>
            <w:pPr>
              <w:pStyle w:val="Normal"/>
              <w:widowControl w:val="false"/>
              <w:tabs>
                <w:tab w:val="clear" w:pos="720"/>
                <w:tab w:val="left" w:pos="399" w:leader="none"/>
                <w:tab w:val="right" w:pos="7164" w:leader="none"/>
              </w:tabs>
              <w:spacing w:before="120" w:after="120"/>
              <w:ind w:left="399" w:hanging="399"/>
              <w:jc w:val="both"/>
              <w:rPr>
                <w:rFonts w:ascii="Arial" w:hAnsi="Arial" w:cs="Arial"/>
                <w:sz w:val="22"/>
                <w:szCs w:val="22"/>
                <w:lang w:val="en-GB"/>
              </w:rPr>
            </w:pPr>
            <w:r>
              <w:rPr>
                <w:rFonts w:cs="Arial" w:ascii="Arial" w:hAnsi="Arial"/>
                <w:sz w:val="22"/>
                <w:szCs w:val="22"/>
                <w:lang w:val="en-GB"/>
              </w:rPr>
              <w:t>Contract Description</w:t>
            </w:r>
          </w:p>
          <w:p>
            <w:pPr>
              <w:pStyle w:val="Normal"/>
              <w:widowControl w:val="false"/>
              <w:tabs>
                <w:tab w:val="clear" w:pos="720"/>
                <w:tab w:val="left" w:pos="399" w:leader="none"/>
                <w:tab w:val="right" w:pos="7164" w:leader="none"/>
              </w:tabs>
              <w:spacing w:before="120" w:after="120"/>
              <w:ind w:left="399" w:hanging="399"/>
              <w:jc w:val="both"/>
              <w:rPr>
                <w:rFonts w:ascii="Arial" w:hAnsi="Arial" w:cs="Arial"/>
                <w:sz w:val="22"/>
                <w:szCs w:val="22"/>
                <w:lang w:val="en-GB"/>
              </w:rPr>
            </w:pPr>
            <w:r>
              <w:rPr>
                <w:rFonts w:cs="Arial" w:ascii="Arial" w:hAnsi="Arial"/>
                <w:sz w:val="22"/>
                <w:szCs w:val="22"/>
                <w:lang w:val="en-GB"/>
              </w:rPr>
              <w:t>Final Destination/Delivery Point</w:t>
            </w:r>
          </w:p>
          <w:p>
            <w:pPr>
              <w:pStyle w:val="Normal"/>
              <w:widowControl w:val="false"/>
              <w:tabs>
                <w:tab w:val="clear" w:pos="720"/>
                <w:tab w:val="left" w:pos="399" w:leader="none"/>
                <w:tab w:val="right" w:pos="7164" w:leader="none"/>
              </w:tabs>
              <w:spacing w:before="120" w:after="120"/>
              <w:jc w:val="both"/>
              <w:rPr>
                <w:rFonts w:ascii="Arial" w:hAnsi="Arial" w:cs="Arial"/>
                <w:sz w:val="22"/>
                <w:szCs w:val="22"/>
                <w:lang w:val="en-GB"/>
              </w:rPr>
            </w:pPr>
            <w:r>
              <w:rPr>
                <w:rFonts w:cs="Arial" w:ascii="Arial" w:hAnsi="Arial"/>
                <w:sz w:val="22"/>
                <w:szCs w:val="22"/>
                <w:lang w:val="en-GB"/>
              </w:rPr>
              <w:t>Package number</w:t>
            </w:r>
          </w:p>
          <w:p>
            <w:pPr>
              <w:pStyle w:val="Normal"/>
              <w:widowControl w:val="false"/>
              <w:tabs>
                <w:tab w:val="clear" w:pos="720"/>
                <w:tab w:val="left" w:pos="399" w:leader="none"/>
                <w:tab w:val="right" w:pos="7164" w:leader="none"/>
              </w:tabs>
              <w:spacing w:before="120" w:after="120"/>
              <w:jc w:val="both"/>
              <w:rPr>
                <w:rFonts w:ascii="Arial" w:hAnsi="Arial" w:cs="Arial"/>
                <w:sz w:val="22"/>
                <w:szCs w:val="22"/>
                <w:lang w:val="en-GB"/>
              </w:rPr>
            </w:pPr>
            <w:r>
              <w:rPr>
                <w:rFonts w:cs="Arial" w:ascii="Arial" w:hAnsi="Arial"/>
                <w:sz w:val="22"/>
                <w:szCs w:val="22"/>
                <w:lang w:val="en-GB"/>
              </w:rPr>
              <w:t>Lot number</w:t>
            </w:r>
          </w:p>
          <w:p>
            <w:pPr>
              <w:pStyle w:val="Normal"/>
              <w:widowControl w:val="false"/>
              <w:tabs>
                <w:tab w:val="clear" w:pos="720"/>
                <w:tab w:val="left" w:pos="399" w:leader="none"/>
                <w:tab w:val="right" w:pos="7164" w:leader="none"/>
              </w:tabs>
              <w:spacing w:before="120" w:after="120"/>
              <w:ind w:left="399" w:hanging="399"/>
              <w:jc w:val="both"/>
              <w:rPr>
                <w:rFonts w:ascii="Arial" w:hAnsi="Arial" w:cs="Arial"/>
                <w:sz w:val="22"/>
                <w:szCs w:val="22"/>
                <w:lang w:val="en-GB"/>
              </w:rPr>
            </w:pPr>
            <w:r>
              <w:rPr>
                <w:rFonts w:cs="Arial" w:ascii="Arial" w:hAnsi="Arial"/>
                <w:sz w:val="22"/>
                <w:szCs w:val="22"/>
                <w:lang w:val="en-GB"/>
              </w:rPr>
              <w:t>Brief description of the content</w:t>
            </w:r>
          </w:p>
          <w:p>
            <w:pPr>
              <w:pStyle w:val="Normal"/>
              <w:widowControl w:val="false"/>
              <w:tabs>
                <w:tab w:val="clear" w:pos="720"/>
                <w:tab w:val="right" w:pos="7164" w:leader="none"/>
              </w:tabs>
              <w:spacing w:before="120" w:after="120"/>
              <w:jc w:val="both"/>
              <w:rPr>
                <w:rFonts w:ascii="Arial" w:hAnsi="Arial" w:cs="Arial"/>
                <w:sz w:val="22"/>
                <w:szCs w:val="22"/>
                <w:lang w:val="en-GB"/>
              </w:rPr>
            </w:pPr>
            <w:r>
              <w:rPr>
                <w:rFonts w:cs="Arial" w:ascii="Arial" w:hAnsi="Arial"/>
                <w:sz w:val="22"/>
                <w:szCs w:val="22"/>
                <w:lang w:val="en-GB"/>
              </w:rPr>
              <w:t>Any special lifting instructions</w:t>
            </w:r>
          </w:p>
          <w:p>
            <w:pPr>
              <w:pStyle w:val="Normal"/>
              <w:widowControl w:val="false"/>
              <w:tabs>
                <w:tab w:val="clear" w:pos="720"/>
                <w:tab w:val="right" w:pos="7164" w:leader="none"/>
              </w:tabs>
              <w:spacing w:before="120" w:after="120"/>
              <w:jc w:val="both"/>
              <w:rPr>
                <w:rFonts w:ascii="Arial" w:hAnsi="Arial" w:cs="Arial"/>
                <w:sz w:val="22"/>
                <w:szCs w:val="22"/>
                <w:lang w:val="en-GB"/>
              </w:rPr>
            </w:pPr>
            <w:r>
              <w:rPr>
                <w:rFonts w:cs="Arial" w:ascii="Arial" w:hAnsi="Arial"/>
                <w:sz w:val="22"/>
                <w:szCs w:val="22"/>
                <w:lang w:val="en-GB"/>
              </w:rPr>
              <w:t>Any special handling instructions</w:t>
            </w:r>
          </w:p>
        </w:tc>
      </w:tr>
      <w:tr>
        <w:trPr>
          <w:trHeight w:val="3153" w:hRule="atLeast"/>
          <w:cantSplit w:val="true"/>
        </w:trPr>
        <w:tc>
          <w:tcPr>
            <w:tcW w:w="1978"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Arial" w:hAnsi="Arial" w:cs="Arial"/>
                <w:b/>
                <w:b/>
                <w:sz w:val="22"/>
                <w:szCs w:val="22"/>
                <w:lang w:val="en-GB"/>
              </w:rPr>
            </w:pPr>
            <w:r>
              <w:rPr>
                <w:rFonts w:cs="Arial" w:ascii="Arial" w:hAnsi="Arial"/>
                <w:b/>
                <w:sz w:val="22"/>
                <w:szCs w:val="22"/>
                <w:lang w:val="en-GB"/>
              </w:rPr>
              <w:t>GCC 21.1</w:t>
            </w:r>
          </w:p>
        </w:tc>
        <w:tc>
          <w:tcPr>
            <w:tcW w:w="7741" w:type="dxa"/>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20"/>
                <w:tab w:val="right" w:pos="7164" w:leader="none"/>
              </w:tabs>
              <w:spacing w:before="120" w:after="120"/>
              <w:rPr>
                <w:rFonts w:ascii="Arial" w:hAnsi="Arial" w:cs="Arial"/>
                <w:sz w:val="22"/>
                <w:szCs w:val="22"/>
                <w:lang w:val="en-GB"/>
              </w:rPr>
            </w:pPr>
            <w:r>
              <w:rPr>
                <w:rFonts w:cs="Arial" w:ascii="Arial" w:hAnsi="Arial"/>
                <w:sz w:val="22"/>
                <w:szCs w:val="22"/>
                <w:lang w:val="en-GB"/>
              </w:rPr>
              <w:t>The documents to be furnished by the Supplier shall be as follows:</w:t>
            </w:r>
          </w:p>
          <w:p>
            <w:pPr>
              <w:pStyle w:val="Normal"/>
              <w:widowControl w:val="false"/>
              <w:numPr>
                <w:ilvl w:val="0"/>
                <w:numId w:val="63"/>
              </w:numPr>
              <w:tabs>
                <w:tab w:val="clear" w:pos="720"/>
                <w:tab w:val="left" w:pos="1125" w:leader="none"/>
              </w:tabs>
              <w:spacing w:before="120" w:after="120"/>
              <w:ind w:left="1134" w:hanging="630"/>
              <w:rPr>
                <w:rFonts w:ascii="Arial" w:hAnsi="Arial" w:cs="Arial"/>
                <w:sz w:val="22"/>
                <w:szCs w:val="22"/>
                <w:lang w:val="en-GB"/>
              </w:rPr>
            </w:pPr>
            <w:r>
              <w:rPr>
                <w:rFonts w:cs="Arial" w:ascii="Arial" w:hAnsi="Arial"/>
                <w:sz w:val="22"/>
                <w:szCs w:val="22"/>
                <w:lang w:val="en-GB"/>
              </w:rPr>
              <w:t>Copies of Supplier’s invoice showing goods’ description, quantity, unit price, total amount;</w:t>
            </w:r>
          </w:p>
          <w:p>
            <w:pPr>
              <w:pStyle w:val="Normal"/>
              <w:widowControl w:val="false"/>
              <w:numPr>
                <w:ilvl w:val="0"/>
                <w:numId w:val="63"/>
              </w:numPr>
              <w:tabs>
                <w:tab w:val="clear" w:pos="720"/>
                <w:tab w:val="left" w:pos="1125" w:leader="none"/>
              </w:tabs>
              <w:spacing w:before="120" w:after="120"/>
              <w:ind w:left="1134" w:hanging="630"/>
              <w:rPr>
                <w:rFonts w:ascii="Arial" w:hAnsi="Arial" w:cs="Arial"/>
                <w:sz w:val="22"/>
                <w:szCs w:val="22"/>
                <w:lang w:val="en-GB"/>
              </w:rPr>
            </w:pPr>
            <w:r>
              <w:rPr>
                <w:rFonts w:cs="Arial" w:ascii="Arial" w:hAnsi="Arial"/>
                <w:sz w:val="22"/>
                <w:szCs w:val="22"/>
                <w:lang w:val="en-GB"/>
              </w:rPr>
              <w:t>Delivery note;</w:t>
            </w:r>
          </w:p>
          <w:p>
            <w:pPr>
              <w:pStyle w:val="Normal"/>
              <w:widowControl w:val="false"/>
              <w:numPr>
                <w:ilvl w:val="0"/>
                <w:numId w:val="63"/>
              </w:numPr>
              <w:tabs>
                <w:tab w:val="clear" w:pos="720"/>
                <w:tab w:val="left" w:pos="1125" w:leader="none"/>
              </w:tabs>
              <w:spacing w:before="120" w:after="120"/>
              <w:ind w:left="1134" w:hanging="630"/>
              <w:rPr>
                <w:rFonts w:ascii="Arial" w:hAnsi="Arial" w:cs="Arial"/>
                <w:sz w:val="22"/>
                <w:szCs w:val="22"/>
                <w:lang w:val="en-GB"/>
              </w:rPr>
            </w:pPr>
            <w:r>
              <w:rPr>
                <w:rFonts w:cs="Arial" w:ascii="Arial" w:hAnsi="Arial"/>
                <w:sz w:val="22"/>
                <w:szCs w:val="22"/>
                <w:lang w:val="en-GB"/>
              </w:rPr>
              <w:t>Manufacturer’s/ Supplier’s  warranty certificate (if any);</w:t>
            </w:r>
          </w:p>
          <w:p>
            <w:pPr>
              <w:pStyle w:val="Normal"/>
              <w:widowControl w:val="false"/>
              <w:numPr>
                <w:ilvl w:val="0"/>
                <w:numId w:val="63"/>
              </w:numPr>
              <w:tabs>
                <w:tab w:val="clear" w:pos="720"/>
                <w:tab w:val="left" w:pos="1125" w:leader="none"/>
              </w:tabs>
              <w:spacing w:before="120" w:after="120"/>
              <w:ind w:left="1134" w:hanging="630"/>
              <w:rPr>
                <w:rFonts w:ascii="Arial" w:hAnsi="Arial" w:cs="Arial"/>
                <w:sz w:val="22"/>
                <w:szCs w:val="22"/>
                <w:lang w:val="en-GB"/>
              </w:rPr>
            </w:pPr>
            <w:r>
              <w:rPr>
                <w:rFonts w:cs="Arial" w:ascii="Arial" w:hAnsi="Arial"/>
                <w:sz w:val="22"/>
                <w:szCs w:val="22"/>
                <w:lang w:val="en-GB"/>
              </w:rPr>
              <w:t>Inspection certificate issued by the nominated inspection agency (or Procuring Entity) and/ or the Supplier’s factory inspection report (if any);</w:t>
            </w:r>
          </w:p>
          <w:p>
            <w:pPr>
              <w:pStyle w:val="Normal"/>
              <w:widowControl w:val="false"/>
              <w:numPr>
                <w:ilvl w:val="0"/>
                <w:numId w:val="63"/>
              </w:numPr>
              <w:tabs>
                <w:tab w:val="clear" w:pos="720"/>
                <w:tab w:val="left" w:pos="1125" w:leader="none"/>
              </w:tabs>
              <w:spacing w:before="120" w:after="120"/>
              <w:ind w:left="1134" w:hanging="630"/>
              <w:rPr>
                <w:rFonts w:ascii="Arial" w:hAnsi="Arial" w:cs="Arial"/>
                <w:sz w:val="22"/>
                <w:szCs w:val="22"/>
                <w:lang w:val="en-GB"/>
              </w:rPr>
            </w:pPr>
            <w:r>
              <w:rPr>
                <w:rFonts w:cs="Arial" w:ascii="Arial" w:hAnsi="Arial"/>
                <w:sz w:val="22"/>
                <w:szCs w:val="22"/>
                <w:lang w:val="en-GB"/>
              </w:rPr>
              <w:t>Certificate of origin, if any.</w:t>
            </w:r>
          </w:p>
        </w:tc>
      </w:tr>
      <w:tr>
        <w:trPr>
          <w:trHeight w:val="579" w:hRule="atLeast"/>
          <w:cantSplit w:val="true"/>
        </w:trPr>
        <w:tc>
          <w:tcPr>
            <w:tcW w:w="1978"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Arial" w:hAnsi="Arial" w:cs="Arial"/>
                <w:b/>
                <w:b/>
                <w:sz w:val="22"/>
                <w:szCs w:val="22"/>
                <w:lang w:val="en-GB"/>
              </w:rPr>
            </w:pPr>
            <w:r>
              <w:rPr>
                <w:rFonts w:cs="Arial" w:ascii="Arial" w:hAnsi="Arial"/>
                <w:b/>
                <w:sz w:val="22"/>
                <w:szCs w:val="22"/>
                <w:lang w:val="en-GB"/>
              </w:rPr>
              <w:t>GCC 23.1</w:t>
            </w:r>
          </w:p>
        </w:tc>
        <w:tc>
          <w:tcPr>
            <w:tcW w:w="7741" w:type="dxa"/>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20"/>
                <w:tab w:val="right" w:pos="7164" w:leader="none"/>
              </w:tabs>
              <w:spacing w:before="120" w:after="120"/>
              <w:rPr>
                <w:rFonts w:ascii="Arial" w:hAnsi="Arial" w:cs="Arial"/>
                <w:sz w:val="22"/>
                <w:szCs w:val="22"/>
                <w:lang w:val="en-GB"/>
              </w:rPr>
            </w:pPr>
            <w:r>
              <w:rPr>
                <w:rFonts w:cs="Arial" w:ascii="Arial" w:hAnsi="Arial"/>
                <w:sz w:val="22"/>
                <w:szCs w:val="22"/>
                <w:lang w:val="en-GB"/>
              </w:rPr>
              <w:t xml:space="preserve">The original Contract price is: </w:t>
            </w:r>
            <w:r>
              <w:rPr>
                <w:rFonts w:cs="Arial" w:ascii="Arial" w:hAnsi="Arial"/>
                <w:i/>
                <w:sz w:val="18"/>
                <w:szCs w:val="18"/>
                <w:lang w:val="en-GB"/>
              </w:rPr>
              <w:t>[insert the amount in the NOA</w:t>
            </w:r>
            <w:r>
              <w:rPr>
                <w:rFonts w:cs="Arial" w:ascii="Arial" w:hAnsi="Arial"/>
                <w:i/>
                <w:sz w:val="21"/>
                <w:szCs w:val="21"/>
                <w:lang w:val="en-GB"/>
              </w:rPr>
              <w:t>]</w:t>
            </w:r>
          </w:p>
        </w:tc>
      </w:tr>
      <w:tr>
        <w:trPr>
          <w:trHeight w:val="732" w:hRule="atLeast"/>
        </w:trPr>
        <w:tc>
          <w:tcPr>
            <w:tcW w:w="1978"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Arial" w:hAnsi="Arial" w:cs="Arial"/>
                <w:b/>
                <w:b/>
                <w:sz w:val="22"/>
                <w:szCs w:val="22"/>
                <w:lang w:val="en-GB"/>
              </w:rPr>
            </w:pPr>
            <w:r>
              <w:rPr>
                <w:rFonts w:cs="Arial" w:ascii="Arial" w:hAnsi="Arial"/>
                <w:b/>
                <w:sz w:val="22"/>
                <w:szCs w:val="22"/>
                <w:lang w:val="en-GB"/>
              </w:rPr>
              <w:t>GCC 25.1</w:t>
            </w:r>
          </w:p>
        </w:tc>
        <w:tc>
          <w:tcPr>
            <w:tcW w:w="7741"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jc w:val="both"/>
              <w:rPr>
                <w:rFonts w:ascii="Arial" w:hAnsi="Arial" w:cs="Arial"/>
                <w:sz w:val="22"/>
                <w:szCs w:val="22"/>
                <w:lang w:val="en-GB"/>
              </w:rPr>
            </w:pPr>
            <w:r>
              <w:rPr>
                <w:rFonts w:cs="Arial" w:ascii="Arial" w:hAnsi="Arial"/>
                <w:sz w:val="22"/>
                <w:szCs w:val="22"/>
                <w:lang w:val="en-GB"/>
              </w:rPr>
              <w:t>The method and conditions of payment to be made to the Supplier under this Contract shall be as follows:</w:t>
            </w:r>
          </w:p>
        </w:tc>
      </w:tr>
      <w:tr>
        <w:trPr>
          <w:trHeight w:val="957" w:hRule="atLeast"/>
          <w:cantSplit w:val="true"/>
        </w:trPr>
        <w:tc>
          <w:tcPr>
            <w:tcW w:w="1978"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Arial" w:hAnsi="Arial" w:cs="Arial"/>
                <w:b/>
                <w:b/>
                <w:sz w:val="21"/>
                <w:szCs w:val="21"/>
                <w:lang w:val="en-GB"/>
              </w:rPr>
            </w:pPr>
            <w:r>
              <w:rPr>
                <w:rFonts w:cs="Arial" w:ascii="Arial" w:hAnsi="Arial"/>
                <w:b/>
                <w:sz w:val="21"/>
                <w:szCs w:val="21"/>
                <w:lang w:val="en-GB"/>
              </w:rPr>
            </w:r>
          </w:p>
        </w:tc>
        <w:tc>
          <w:tcPr>
            <w:tcW w:w="7741"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jc w:val="both"/>
              <w:rPr>
                <w:rFonts w:ascii="Arial" w:hAnsi="Arial" w:cs="Arial"/>
                <w:sz w:val="22"/>
                <w:szCs w:val="22"/>
                <w:lang w:val="en-GB"/>
              </w:rPr>
            </w:pPr>
            <w:r>
              <w:rPr>
                <w:rFonts w:cs="Arial" w:ascii="Arial" w:hAnsi="Arial"/>
                <w:b/>
                <w:bCs/>
                <w:sz w:val="22"/>
                <w:szCs w:val="22"/>
                <w:lang w:val="en-GB"/>
              </w:rPr>
              <w:t>On Delivery and Acceptance:</w:t>
            </w:r>
          </w:p>
          <w:p>
            <w:pPr>
              <w:pStyle w:val="Normal"/>
              <w:widowControl w:val="false"/>
              <w:spacing w:before="120" w:after="120"/>
              <w:jc w:val="both"/>
              <w:rPr>
                <w:rFonts w:ascii="Arial" w:hAnsi="Arial" w:cs="Arial"/>
                <w:sz w:val="21"/>
                <w:szCs w:val="21"/>
                <w:lang w:val="en-GB"/>
              </w:rPr>
            </w:pPr>
            <w:r>
              <w:rPr>
                <w:rFonts w:cs="Arial" w:ascii="Arial" w:hAnsi="Arial"/>
                <w:sz w:val="21"/>
                <w:szCs w:val="21"/>
                <w:lang w:val="en-GB"/>
              </w:rPr>
              <w:t>Ninety (90) percent</w:t>
            </w:r>
            <w:r>
              <w:rPr>
                <w:rFonts w:cs="Arial" w:ascii="Arial" w:hAnsi="Arial"/>
                <w:sz w:val="22"/>
                <w:szCs w:val="22"/>
                <w:lang w:val="en-GB"/>
              </w:rPr>
              <w:t xml:space="preserve"> </w:t>
            </w:r>
            <w:r>
              <w:rPr>
                <w:rFonts w:cs="Arial" w:ascii="Arial" w:hAnsi="Arial"/>
                <w:sz w:val="21"/>
                <w:szCs w:val="21"/>
                <w:lang w:val="en-GB"/>
              </w:rPr>
              <w:t>shall be paid pursuant to GCC Clause 20 and 21.</w:t>
            </w:r>
          </w:p>
        </w:tc>
      </w:tr>
      <w:tr>
        <w:trPr>
          <w:trHeight w:val="966" w:hRule="atLeast"/>
          <w:cantSplit w:val="true"/>
        </w:trPr>
        <w:tc>
          <w:tcPr>
            <w:tcW w:w="1978"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Arial" w:hAnsi="Arial" w:cs="Arial"/>
                <w:b/>
                <w:b/>
                <w:sz w:val="22"/>
                <w:szCs w:val="22"/>
                <w:lang w:val="en-GB"/>
              </w:rPr>
            </w:pPr>
            <w:r>
              <w:rPr>
                <w:rFonts w:cs="Arial" w:ascii="Arial" w:hAnsi="Arial"/>
                <w:b/>
                <w:sz w:val="22"/>
                <w:szCs w:val="22"/>
                <w:lang w:val="en-GB"/>
              </w:rPr>
              <w:t>GCC 25.3</w:t>
            </w:r>
          </w:p>
        </w:tc>
        <w:tc>
          <w:tcPr>
            <w:tcW w:w="7741" w:type="dxa"/>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20"/>
                <w:tab w:val="right" w:pos="7164" w:leader="none"/>
              </w:tabs>
              <w:spacing w:before="120" w:after="120"/>
              <w:rPr>
                <w:rFonts w:ascii="Arial" w:hAnsi="Arial" w:cs="Arial"/>
                <w:i/>
                <w:i/>
                <w:sz w:val="22"/>
                <w:szCs w:val="22"/>
                <w:lang w:val="en-GB"/>
              </w:rPr>
            </w:pPr>
            <w:r>
              <w:rPr>
                <w:rFonts w:cs="Arial" w:ascii="Arial" w:hAnsi="Arial"/>
                <w:sz w:val="22"/>
                <w:szCs w:val="22"/>
                <w:lang w:val="en-GB"/>
              </w:rPr>
              <w:t xml:space="preserve">Payments shall be made in no case later than the days </w:t>
            </w:r>
            <w:r>
              <w:rPr>
                <w:rFonts w:cs="Arial" w:ascii="Arial" w:hAnsi="Arial"/>
                <w:i/>
                <w:sz w:val="22"/>
                <w:szCs w:val="22"/>
                <w:lang w:val="en-GB"/>
              </w:rPr>
              <w:t xml:space="preserve">45 </w:t>
            </w:r>
            <w:r>
              <w:rPr>
                <w:rFonts w:cs="Arial" w:ascii="Arial" w:hAnsi="Arial"/>
                <w:sz w:val="22"/>
                <w:szCs w:val="22"/>
                <w:lang w:val="en-GB"/>
              </w:rPr>
              <w:t>after submission of an invoice or request for payment by the Supplier, and after the Procuring Entity has accepted it.</w:t>
            </w:r>
          </w:p>
        </w:tc>
      </w:tr>
      <w:tr>
        <w:trPr>
          <w:trHeight w:val="4485" w:hRule="atLeast"/>
          <w:cantSplit w:val="true"/>
        </w:trPr>
        <w:tc>
          <w:tcPr>
            <w:tcW w:w="1978"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Arial" w:hAnsi="Arial" w:cs="Arial"/>
                <w:b/>
                <w:b/>
                <w:sz w:val="22"/>
                <w:szCs w:val="22"/>
                <w:lang w:val="en-GB"/>
              </w:rPr>
            </w:pPr>
            <w:r>
              <w:rPr>
                <w:rFonts w:cs="Arial" w:ascii="Arial" w:hAnsi="Arial"/>
                <w:b/>
                <w:sz w:val="22"/>
                <w:szCs w:val="22"/>
                <w:lang w:val="en-GB"/>
              </w:rPr>
              <w:t>GCC 30.1</w:t>
            </w:r>
          </w:p>
        </w:tc>
        <w:tc>
          <w:tcPr>
            <w:tcW w:w="7741" w:type="dxa"/>
            <w:tcBorders>
              <w:top w:val="single" w:sz="6" w:space="0" w:color="000000"/>
              <w:left w:val="single" w:sz="6" w:space="0" w:color="000000"/>
              <w:bottom w:val="single" w:sz="6" w:space="0" w:color="000000"/>
              <w:right w:val="single" w:sz="6" w:space="0" w:color="000000"/>
            </w:tcBorders>
          </w:tcPr>
          <w:p>
            <w:pPr>
              <w:pStyle w:val="BodyText3"/>
              <w:widowControl w:val="false"/>
              <w:tabs>
                <w:tab w:val="clear" w:pos="7254"/>
                <w:tab w:val="right" w:pos="7164" w:leader="none"/>
              </w:tabs>
              <w:spacing w:before="120" w:after="120"/>
              <w:rPr>
                <w:rFonts w:ascii="Arial" w:hAnsi="Arial" w:cs="Arial"/>
                <w:sz w:val="22"/>
                <w:szCs w:val="22"/>
                <w:lang w:val="en-GB"/>
              </w:rPr>
            </w:pPr>
            <w:r>
              <w:rPr>
                <w:rFonts w:cs="Arial" w:ascii="Arial" w:hAnsi="Arial"/>
                <w:i w:val="false"/>
                <w:sz w:val="22"/>
                <w:szCs w:val="22"/>
                <w:lang w:val="en-GB"/>
              </w:rPr>
              <w:t xml:space="preserve">The inspections and tests shall be :[ </w:t>
            </w:r>
            <w:r>
              <w:rPr>
                <w:rFonts w:cs="Arial" w:ascii="Arial" w:hAnsi="Arial"/>
                <w:sz w:val="22"/>
                <w:szCs w:val="22"/>
                <w:lang w:val="en-GB"/>
              </w:rPr>
              <w:t>insert type of test, time, place, procedures for carrying out the inspections and tests</w:t>
            </w:r>
          </w:p>
          <w:p>
            <w:pPr>
              <w:pStyle w:val="BodyText3"/>
              <w:widowControl w:val="false"/>
              <w:tabs>
                <w:tab w:val="clear" w:pos="7254"/>
                <w:tab w:val="right" w:pos="7164" w:leader="none"/>
              </w:tabs>
              <w:spacing w:before="120" w:after="120"/>
              <w:rPr>
                <w:rFonts w:ascii="Arial" w:hAnsi="Arial" w:cs="Arial"/>
                <w:sz w:val="22"/>
                <w:szCs w:val="22"/>
                <w:lang w:val="en-GB"/>
              </w:rPr>
            </w:pPr>
            <w:r>
              <w:rPr>
                <w:rFonts w:cs="Arial" w:ascii="Arial" w:hAnsi="Arial"/>
                <w:sz w:val="22"/>
                <w:szCs w:val="22"/>
                <w:lang w:val="en-GB"/>
              </w:rPr>
              <w:t>Goods:</w:t>
            </w:r>
          </w:p>
          <w:p>
            <w:pPr>
              <w:pStyle w:val="BodyText3"/>
              <w:widowControl w:val="false"/>
              <w:tabs>
                <w:tab w:val="clear" w:pos="7254"/>
                <w:tab w:val="right" w:pos="7164" w:leader="none"/>
              </w:tabs>
              <w:spacing w:before="120" w:after="120"/>
              <w:rPr>
                <w:rFonts w:ascii="Arial" w:hAnsi="Arial" w:cs="Arial"/>
                <w:sz w:val="22"/>
                <w:szCs w:val="22"/>
                <w:lang w:val="en-GB"/>
              </w:rPr>
            </w:pPr>
            <w:r>
              <w:rPr>
                <w:rFonts w:cs="Arial" w:ascii="Arial" w:hAnsi="Arial"/>
                <w:sz w:val="22"/>
                <w:szCs w:val="22"/>
                <w:lang w:val="en-GB"/>
              </w:rPr>
              <w:t>Type of test:</w:t>
            </w:r>
          </w:p>
          <w:p>
            <w:pPr>
              <w:pStyle w:val="BodyText3"/>
              <w:widowControl w:val="false"/>
              <w:tabs>
                <w:tab w:val="clear" w:pos="7254"/>
                <w:tab w:val="right" w:pos="7164" w:leader="none"/>
              </w:tabs>
              <w:spacing w:before="120" w:after="120"/>
              <w:rPr>
                <w:rFonts w:ascii="Arial" w:hAnsi="Arial" w:cs="Arial"/>
                <w:sz w:val="22"/>
                <w:szCs w:val="22"/>
                <w:lang w:val="en-GB"/>
              </w:rPr>
            </w:pPr>
            <w:r>
              <w:rPr>
                <w:rFonts w:cs="Arial" w:ascii="Arial" w:hAnsi="Arial"/>
                <w:sz w:val="22"/>
                <w:szCs w:val="22"/>
                <w:lang w:val="en-GB"/>
              </w:rPr>
              <w:t>Time or milestone:</w:t>
            </w:r>
          </w:p>
          <w:p>
            <w:pPr>
              <w:pStyle w:val="BodyText3"/>
              <w:widowControl w:val="false"/>
              <w:tabs>
                <w:tab w:val="clear" w:pos="7254"/>
                <w:tab w:val="right" w:pos="7164" w:leader="none"/>
              </w:tabs>
              <w:spacing w:before="120" w:after="120"/>
              <w:rPr>
                <w:rFonts w:ascii="Arial" w:hAnsi="Arial" w:cs="Arial"/>
                <w:sz w:val="22"/>
                <w:szCs w:val="22"/>
                <w:lang w:val="en-GB"/>
              </w:rPr>
            </w:pPr>
            <w:r>
              <w:rPr>
                <w:rFonts w:cs="Arial" w:ascii="Arial" w:hAnsi="Arial"/>
                <w:sz w:val="22"/>
                <w:szCs w:val="22"/>
                <w:lang w:val="en-GB"/>
              </w:rPr>
              <w:t>Place:</w:t>
            </w:r>
          </w:p>
          <w:p>
            <w:pPr>
              <w:pStyle w:val="BodyText3"/>
              <w:widowControl w:val="false"/>
              <w:tabs>
                <w:tab w:val="clear" w:pos="7254"/>
                <w:tab w:val="right" w:pos="7164" w:leader="none"/>
              </w:tabs>
              <w:spacing w:before="120" w:after="120"/>
              <w:rPr>
                <w:rFonts w:ascii="Arial" w:hAnsi="Arial" w:cs="Arial"/>
                <w:sz w:val="22"/>
                <w:szCs w:val="22"/>
                <w:lang w:val="en-GB"/>
              </w:rPr>
            </w:pPr>
            <w:r>
              <w:rPr>
                <w:rFonts w:cs="Arial" w:ascii="Arial" w:hAnsi="Arial"/>
                <w:sz w:val="22"/>
                <w:szCs w:val="22"/>
                <w:lang w:val="en-GB"/>
              </w:rPr>
              <w:t>Procedure:  ]</w:t>
            </w:r>
          </w:p>
          <w:p>
            <w:pPr>
              <w:pStyle w:val="BodyText3"/>
              <w:widowControl w:val="false"/>
              <w:tabs>
                <w:tab w:val="right" w:pos="7164" w:leader="none"/>
                <w:tab w:val="right" w:pos="7254" w:leader="none"/>
              </w:tabs>
              <w:spacing w:before="120" w:after="120"/>
              <w:jc w:val="both"/>
              <w:rPr>
                <w:rFonts w:ascii="Arial" w:hAnsi="Arial" w:cs="Arial"/>
                <w:i w:val="false"/>
                <w:i w:val="false"/>
                <w:sz w:val="18"/>
                <w:szCs w:val="18"/>
                <w:lang w:val="en-GB"/>
              </w:rPr>
            </w:pPr>
            <w:r>
              <w:rPr>
                <w:rFonts w:cs="Arial" w:ascii="Arial" w:hAnsi="Arial"/>
                <w:sz w:val="18"/>
                <w:szCs w:val="18"/>
                <w:lang w:val="en-GB"/>
              </w:rPr>
              <w:t>[Depending on the type of Goods to be procured, there may be a need to provide for special inspections and/or tests to be carried out. In particular, this will be the case when the Goods are designed specifically for the purpose of the Project in question or where due to the nature of the Goods, there is a need to ensure compliance with certain technical specifications and requirements at an early stage. If there is a need for such special inspections and/or tests, the PCC should mention specific testing methods and the timing or milestones and places where the tests and/or inspections are to be carried out. ]</w:t>
            </w:r>
          </w:p>
        </w:tc>
      </w:tr>
      <w:tr>
        <w:trPr>
          <w:trHeight w:val="516" w:hRule="atLeast"/>
          <w:cantSplit w:val="true"/>
        </w:trPr>
        <w:tc>
          <w:tcPr>
            <w:tcW w:w="1978"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Arial" w:hAnsi="Arial" w:cs="Arial"/>
                <w:b/>
                <w:b/>
                <w:sz w:val="22"/>
                <w:szCs w:val="22"/>
                <w:lang w:val="en-GB"/>
              </w:rPr>
            </w:pPr>
            <w:r>
              <w:rPr>
                <w:rFonts w:cs="Arial" w:ascii="Arial" w:hAnsi="Arial"/>
                <w:b/>
                <w:sz w:val="22"/>
                <w:szCs w:val="22"/>
                <w:lang w:val="en-GB"/>
              </w:rPr>
              <w:t>GCC 31.3</w:t>
            </w:r>
          </w:p>
        </w:tc>
        <w:tc>
          <w:tcPr>
            <w:tcW w:w="7741" w:type="dxa"/>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20"/>
                <w:tab w:val="right" w:pos="7164" w:leader="none"/>
              </w:tabs>
              <w:spacing w:before="120" w:after="120"/>
              <w:rPr>
                <w:rFonts w:ascii="Arial" w:hAnsi="Arial" w:cs="Arial"/>
                <w:sz w:val="22"/>
                <w:szCs w:val="22"/>
                <w:lang w:val="en-GB"/>
              </w:rPr>
            </w:pPr>
            <w:r>
              <w:rPr>
                <w:rFonts w:cs="Arial" w:ascii="Arial" w:hAnsi="Arial"/>
                <w:iCs/>
                <w:sz w:val="22"/>
                <w:szCs w:val="22"/>
                <w:lang w:val="en-GB"/>
              </w:rPr>
              <w:t xml:space="preserve">The Warranty Period shall be 36 Months </w:t>
            </w:r>
            <w:r>
              <w:rPr>
                <w:rFonts w:cs="Arial" w:ascii="Arial" w:hAnsi="Arial"/>
                <w:iCs/>
                <w:sz w:val="22"/>
                <w:szCs w:val="22"/>
                <w:lang w:val="en-GB"/>
              </w:rPr>
              <w:t>for the items, spare-parts and on-premise support upon service call from the procurement entity.</w:t>
            </w:r>
          </w:p>
        </w:tc>
      </w:tr>
      <w:tr>
        <w:trPr>
          <w:trHeight w:val="885" w:hRule="atLeast"/>
          <w:cantSplit w:val="true"/>
        </w:trPr>
        <w:tc>
          <w:tcPr>
            <w:tcW w:w="1978" w:type="dxa"/>
            <w:tcBorders>
              <w:top w:val="single" w:sz="6" w:space="0" w:color="000000"/>
              <w:left w:val="single" w:sz="6" w:space="0" w:color="000000"/>
              <w:bottom w:val="single" w:sz="4" w:space="0" w:color="000000"/>
              <w:right w:val="single" w:sz="6" w:space="0" w:color="000000"/>
            </w:tcBorders>
          </w:tcPr>
          <w:p>
            <w:pPr>
              <w:pStyle w:val="Normal"/>
              <w:widowControl w:val="false"/>
              <w:spacing w:before="120" w:after="120"/>
              <w:rPr>
                <w:rFonts w:ascii="Arial" w:hAnsi="Arial" w:cs="Arial"/>
                <w:b/>
                <w:b/>
                <w:sz w:val="22"/>
                <w:szCs w:val="22"/>
                <w:lang w:val="en-GB"/>
              </w:rPr>
            </w:pPr>
            <w:r>
              <w:rPr>
                <w:rFonts w:cs="Arial" w:ascii="Arial" w:hAnsi="Arial"/>
                <w:b/>
                <w:sz w:val="22"/>
                <w:szCs w:val="22"/>
                <w:lang w:val="en-GB"/>
              </w:rPr>
              <w:t>GCC 31.7</w:t>
            </w:r>
          </w:p>
        </w:tc>
        <w:tc>
          <w:tcPr>
            <w:tcW w:w="7741" w:type="dxa"/>
            <w:tcBorders>
              <w:top w:val="single" w:sz="6" w:space="0" w:color="000000"/>
              <w:left w:val="single" w:sz="6" w:space="0" w:color="000000"/>
              <w:bottom w:val="single" w:sz="4" w:space="0" w:color="000000"/>
              <w:right w:val="single" w:sz="6" w:space="0" w:color="000000"/>
            </w:tcBorders>
          </w:tcPr>
          <w:p>
            <w:pPr>
              <w:pStyle w:val="Normal"/>
              <w:widowControl w:val="false"/>
              <w:tabs>
                <w:tab w:val="clear" w:pos="720"/>
                <w:tab w:val="right" w:pos="7164" w:leader="none"/>
              </w:tabs>
              <w:spacing w:before="120" w:after="120"/>
              <w:jc w:val="both"/>
              <w:rPr>
                <w:rFonts w:ascii="Arial" w:hAnsi="Arial" w:cs="Arial"/>
                <w:sz w:val="22"/>
                <w:szCs w:val="22"/>
                <w:lang w:val="en-GB"/>
              </w:rPr>
            </w:pPr>
            <w:r>
              <w:rPr>
                <w:rFonts w:cs="Arial" w:ascii="Arial" w:hAnsi="Arial"/>
                <w:sz w:val="22"/>
                <w:szCs w:val="22"/>
                <w:lang w:val="en-GB"/>
              </w:rPr>
              <w:t xml:space="preserve">The Supplier shall correct any defects covered by the warranty within </w:t>
            </w:r>
            <w:r>
              <w:rPr>
                <w:rFonts w:cs="Arial" w:ascii="Arial" w:hAnsi="Arial"/>
                <w:i/>
                <w:sz w:val="22"/>
                <w:szCs w:val="22"/>
                <w:lang w:val="en-GB"/>
              </w:rPr>
              <w:t xml:space="preserve">3 days </w:t>
            </w:r>
            <w:r>
              <w:rPr>
                <w:rFonts w:cs="Arial" w:ascii="Arial" w:hAnsi="Arial"/>
                <w:sz w:val="22"/>
                <w:szCs w:val="22"/>
                <w:lang w:val="en-GB"/>
              </w:rPr>
              <w:t>of being notified by the Procuring Entity of the occurrence of such defects.</w:t>
            </w:r>
          </w:p>
        </w:tc>
      </w:tr>
      <w:tr>
        <w:trPr>
          <w:trHeight w:val="471" w:hRule="atLeast"/>
          <w:cantSplit w:val="true"/>
        </w:trPr>
        <w:tc>
          <w:tcPr>
            <w:tcW w:w="1978" w:type="dxa"/>
            <w:vMerge w:val="restart"/>
            <w:tcBorders>
              <w:top w:val="single" w:sz="4" w:space="0" w:color="000000"/>
              <w:left w:val="single" w:sz="6" w:space="0" w:color="000000"/>
              <w:bottom w:val="single" w:sz="6" w:space="0" w:color="000000"/>
              <w:right w:val="single" w:sz="6" w:space="0" w:color="000000"/>
            </w:tcBorders>
          </w:tcPr>
          <w:p>
            <w:pPr>
              <w:pStyle w:val="Normal"/>
              <w:widowControl w:val="false"/>
              <w:spacing w:before="120" w:after="120"/>
              <w:rPr>
                <w:rFonts w:ascii="Arial" w:hAnsi="Arial" w:cs="Arial"/>
                <w:b/>
                <w:b/>
                <w:sz w:val="22"/>
                <w:szCs w:val="22"/>
                <w:lang w:val="en-GB"/>
              </w:rPr>
            </w:pPr>
            <w:r>
              <w:rPr>
                <w:rFonts w:cs="Arial" w:ascii="Arial" w:hAnsi="Arial"/>
                <w:b/>
                <w:sz w:val="22"/>
                <w:szCs w:val="22"/>
                <w:lang w:val="en-GB"/>
              </w:rPr>
              <w:t>GCC 33.1</w:t>
            </w:r>
          </w:p>
          <w:p>
            <w:pPr>
              <w:pStyle w:val="Normal"/>
              <w:widowControl w:val="false"/>
              <w:spacing w:before="120" w:after="120"/>
              <w:rPr>
                <w:rFonts w:ascii="Arial" w:hAnsi="Arial" w:cs="Arial"/>
                <w:b/>
                <w:b/>
                <w:sz w:val="22"/>
                <w:szCs w:val="22"/>
                <w:lang w:val="en-GB"/>
              </w:rPr>
            </w:pPr>
            <w:r>
              <w:rPr>
                <w:rFonts w:cs="Arial" w:ascii="Arial" w:hAnsi="Arial"/>
                <w:b/>
                <w:sz w:val="22"/>
                <w:szCs w:val="22"/>
                <w:lang w:val="en-GB"/>
              </w:rPr>
            </w:r>
          </w:p>
        </w:tc>
        <w:tc>
          <w:tcPr>
            <w:tcW w:w="7741" w:type="dxa"/>
            <w:tcBorders>
              <w:top w:val="single" w:sz="4" w:space="0" w:color="000000"/>
              <w:left w:val="single" w:sz="6" w:space="0" w:color="000000"/>
              <w:bottom w:val="single" w:sz="6" w:space="0" w:color="000000"/>
              <w:right w:val="single" w:sz="6" w:space="0" w:color="000000"/>
            </w:tcBorders>
          </w:tcPr>
          <w:p>
            <w:pPr>
              <w:pStyle w:val="Normal"/>
              <w:widowControl w:val="false"/>
              <w:spacing w:before="120" w:after="120"/>
              <w:ind w:right="-72" w:hanging="0"/>
              <w:jc w:val="both"/>
              <w:rPr>
                <w:rFonts w:ascii="Arial" w:hAnsi="Arial" w:cs="Arial"/>
                <w:sz w:val="21"/>
                <w:szCs w:val="21"/>
                <w:lang w:val="en-GB"/>
              </w:rPr>
            </w:pPr>
            <w:r>
              <w:rPr>
                <w:rFonts w:cs="Arial" w:ascii="Arial" w:hAnsi="Arial"/>
                <w:sz w:val="21"/>
                <w:szCs w:val="21"/>
                <w:lang w:val="en-GB"/>
              </w:rPr>
              <w:t xml:space="preserve">The amount of Liquidated Damages is </w:t>
            </w:r>
            <w:r>
              <w:rPr>
                <w:rFonts w:cs="Arial" w:ascii="Arial" w:hAnsi="Arial"/>
                <w:sz w:val="18"/>
                <w:szCs w:val="18"/>
                <w:lang w:val="en-GB"/>
              </w:rPr>
              <w:t>[</w:t>
            </w:r>
            <w:r>
              <w:rPr>
                <w:rFonts w:cs="Arial" w:ascii="Arial" w:hAnsi="Arial"/>
                <w:i/>
                <w:sz w:val="18"/>
                <w:szCs w:val="18"/>
                <w:lang w:val="en-GB"/>
              </w:rPr>
              <w:t>insert between 0.05 and 0.10</w:t>
            </w:r>
            <w:r>
              <w:rPr>
                <w:rFonts w:cs="Arial" w:ascii="Arial" w:hAnsi="Arial"/>
                <w:sz w:val="18"/>
                <w:szCs w:val="18"/>
                <w:lang w:val="en-GB"/>
              </w:rPr>
              <w:t>]</w:t>
            </w:r>
            <w:r>
              <w:rPr>
                <w:rFonts w:cs="Arial" w:ascii="Arial" w:hAnsi="Arial"/>
                <w:sz w:val="21"/>
                <w:szCs w:val="21"/>
                <w:lang w:val="en-GB"/>
              </w:rPr>
              <w:t xml:space="preserve"> of ONE (1) percent </w:t>
            </w:r>
            <w:r>
              <w:rPr>
                <w:rFonts w:cs="Arial" w:ascii="Arial" w:hAnsi="Arial"/>
                <w:sz w:val="22"/>
                <w:szCs w:val="22"/>
                <w:lang w:val="en-GB"/>
              </w:rPr>
              <w:t>of the contract value of</w:t>
            </w:r>
            <w:r>
              <w:rPr>
                <w:rFonts w:cs="Arial" w:ascii="Arial" w:hAnsi="Arial"/>
                <w:sz w:val="21"/>
                <w:szCs w:val="21"/>
                <w:lang w:val="en-GB"/>
              </w:rPr>
              <w:t xml:space="preserve"> the undelivered Goods or any part thereof delivered </w:t>
            </w:r>
            <w:r>
              <w:rPr>
                <w:rFonts w:cs="Arial" w:ascii="Arial" w:hAnsi="Arial"/>
                <w:sz w:val="22"/>
                <w:szCs w:val="22"/>
                <w:lang w:val="en-GB"/>
              </w:rPr>
              <w:t>after expiry of the Delivery and Completion Schedule or extended Delivery and Completion Schedule, as applicable,</w:t>
            </w:r>
            <w:r>
              <w:rPr>
                <w:rFonts w:cs="Arial" w:ascii="Arial" w:hAnsi="Arial"/>
                <w:sz w:val="21"/>
                <w:szCs w:val="21"/>
                <w:lang w:val="en-GB"/>
              </w:rPr>
              <w:t xml:space="preserve"> per day of delay.</w:t>
            </w:r>
          </w:p>
          <w:p>
            <w:pPr>
              <w:pStyle w:val="Normal"/>
              <w:widowControl w:val="false"/>
              <w:spacing w:before="120" w:after="120"/>
              <w:ind w:right="-72" w:hanging="0"/>
              <w:jc w:val="both"/>
              <w:rPr>
                <w:rFonts w:ascii="Arial" w:hAnsi="Arial" w:cs="Arial"/>
                <w:b/>
                <w:b/>
                <w:sz w:val="18"/>
                <w:szCs w:val="18"/>
                <w:u w:val="single"/>
                <w:lang w:val="en-GB"/>
              </w:rPr>
            </w:pPr>
            <w:r>
              <w:rPr>
                <w:rFonts w:cs="Arial" w:ascii="Arial" w:hAnsi="Arial"/>
                <w:b/>
                <w:sz w:val="18"/>
                <w:szCs w:val="18"/>
                <w:u w:val="single"/>
                <w:lang w:val="en-GB"/>
              </w:rPr>
            </w:r>
          </w:p>
          <w:p>
            <w:pPr>
              <w:pStyle w:val="Normal"/>
              <w:widowControl w:val="false"/>
              <w:spacing w:before="120" w:after="120"/>
              <w:ind w:right="-72" w:hanging="0"/>
              <w:jc w:val="both"/>
              <w:rPr>
                <w:rFonts w:ascii="Arial" w:hAnsi="Arial" w:cs="Arial"/>
                <w:b/>
                <w:b/>
                <w:sz w:val="18"/>
                <w:szCs w:val="18"/>
                <w:u w:val="single"/>
                <w:lang w:val="en-GB"/>
              </w:rPr>
            </w:pPr>
            <w:r>
              <w:rPr>
                <w:rFonts w:cs="Arial" w:ascii="Arial" w:hAnsi="Arial"/>
                <w:b/>
                <w:sz w:val="18"/>
                <w:szCs w:val="18"/>
                <w:u w:val="single"/>
                <w:lang w:val="en-GB"/>
              </w:rPr>
              <w:t>Guide to application of GCC Sub Clause 33.1 above</w:t>
            </w:r>
          </w:p>
          <w:p>
            <w:pPr>
              <w:pStyle w:val="Normal"/>
              <w:widowControl w:val="false"/>
              <w:spacing w:before="120" w:after="120"/>
              <w:ind w:right="-72" w:hanging="0"/>
              <w:jc w:val="both"/>
              <w:rPr>
                <w:rFonts w:ascii="Arial" w:hAnsi="Arial" w:cs="Arial"/>
                <w:b/>
                <w:b/>
                <w:i/>
                <w:i/>
                <w:iCs/>
                <w:sz w:val="18"/>
                <w:szCs w:val="18"/>
                <w:lang w:val="en-GB"/>
              </w:rPr>
            </w:pPr>
            <w:r>
              <w:rPr>
                <w:rFonts w:cs="Arial" w:ascii="Arial" w:hAnsi="Arial"/>
                <w:b/>
                <w:i/>
                <w:iCs/>
                <w:sz w:val="18"/>
                <w:szCs w:val="18"/>
                <w:lang w:val="en-GB"/>
              </w:rPr>
              <w:t>[ Liquidated damages is equivalent to an amount to be determined in accordance with the following formulae</w:t>
            </w:r>
          </w:p>
          <w:p>
            <w:pPr>
              <w:pStyle w:val="Normal"/>
              <w:widowControl w:val="false"/>
              <w:spacing w:before="120" w:after="120"/>
              <w:ind w:right="-72" w:hanging="0"/>
              <w:jc w:val="both"/>
              <w:rPr>
                <w:rFonts w:ascii="Arial" w:hAnsi="Arial" w:cs="Arial"/>
                <w:iCs/>
                <w:sz w:val="18"/>
                <w:szCs w:val="18"/>
                <w:lang w:val="en-GB"/>
              </w:rPr>
            </w:pPr>
            <w:r>
              <w:rPr>
                <w:rFonts w:cs="Arial" w:ascii="Arial" w:hAnsi="Arial"/>
                <w:iCs/>
                <w:sz w:val="18"/>
                <w:szCs w:val="18"/>
                <w:lang w:val="en-GB"/>
              </w:rPr>
              <w:t>T</w:t>
            </w:r>
            <w:r>
              <w:rPr>
                <w:rFonts w:cs="Arial" w:ascii="Arial" w:hAnsi="Arial"/>
                <w:b/>
                <w:i/>
                <w:iCs/>
                <w:sz w:val="18"/>
                <w:szCs w:val="18"/>
                <w:lang w:val="en-GB"/>
              </w:rPr>
              <w:t xml:space="preserve"> = </w:t>
            </w:r>
            <w:r>
              <w:rPr>
                <w:rFonts w:cs="Arial" w:ascii="Arial" w:hAnsi="Arial"/>
                <w:iCs/>
                <w:sz w:val="18"/>
                <w:szCs w:val="18"/>
                <w:lang w:val="en-GB"/>
              </w:rPr>
              <w:t>VxPx n</w:t>
            </w:r>
          </w:p>
          <w:p>
            <w:pPr>
              <w:pStyle w:val="Normal"/>
              <w:widowControl w:val="false"/>
              <w:spacing w:before="120" w:after="120"/>
              <w:ind w:right="-72" w:hanging="0"/>
              <w:jc w:val="both"/>
              <w:rPr>
                <w:rFonts w:ascii="Arial" w:hAnsi="Arial" w:cs="Arial"/>
                <w:b/>
                <w:b/>
                <w:i/>
                <w:i/>
                <w:iCs/>
                <w:sz w:val="18"/>
                <w:szCs w:val="18"/>
                <w:lang w:val="en-GB"/>
              </w:rPr>
            </w:pPr>
            <w:r>
              <w:rPr>
                <w:rFonts w:cs="Arial" w:ascii="Arial" w:hAnsi="Arial"/>
                <w:b/>
                <w:i/>
                <w:iCs/>
                <w:sz w:val="18"/>
                <w:szCs w:val="18"/>
                <w:lang w:val="en-GB"/>
              </w:rPr>
              <w:t>Where;</w:t>
            </w:r>
          </w:p>
          <w:p>
            <w:pPr>
              <w:pStyle w:val="Normal"/>
              <w:widowControl w:val="false"/>
              <w:spacing w:before="120" w:after="120"/>
              <w:ind w:right="-72" w:hanging="0"/>
              <w:jc w:val="both"/>
              <w:rPr>
                <w:rFonts w:ascii="Arial" w:hAnsi="Arial" w:cs="Arial"/>
                <w:b/>
                <w:b/>
                <w:i/>
                <w:i/>
                <w:iCs/>
                <w:sz w:val="18"/>
                <w:szCs w:val="18"/>
                <w:lang w:val="en-GB"/>
              </w:rPr>
            </w:pPr>
            <w:r>
              <w:rPr>
                <w:rFonts w:cs="Arial" w:ascii="Arial" w:hAnsi="Arial"/>
                <w:iCs/>
                <w:sz w:val="18"/>
                <w:szCs w:val="18"/>
                <w:lang w:val="en-GB"/>
              </w:rPr>
              <w:t>T</w:t>
            </w:r>
            <w:r>
              <w:rPr>
                <w:rFonts w:cs="Arial" w:ascii="Arial" w:hAnsi="Arial"/>
                <w:b/>
                <w:i/>
                <w:iCs/>
                <w:sz w:val="18"/>
                <w:szCs w:val="18"/>
                <w:lang w:val="en-GB"/>
              </w:rPr>
              <w:t xml:space="preserve"> = Total amount of Liquidated Damages</w:t>
            </w:r>
          </w:p>
          <w:p>
            <w:pPr>
              <w:pStyle w:val="Normal"/>
              <w:widowControl w:val="false"/>
              <w:spacing w:before="120" w:after="120"/>
              <w:ind w:left="552" w:right="-72" w:hanging="660"/>
              <w:jc w:val="both"/>
              <w:rPr>
                <w:rFonts w:ascii="Arial" w:hAnsi="Arial" w:cs="Arial"/>
                <w:b/>
                <w:b/>
                <w:i/>
                <w:i/>
                <w:iCs/>
                <w:sz w:val="18"/>
                <w:szCs w:val="18"/>
                <w:lang w:val="en-GB"/>
              </w:rPr>
            </w:pPr>
            <w:r>
              <w:rPr>
                <w:rFonts w:cs="Arial" w:ascii="Arial" w:hAnsi="Arial"/>
                <w:iCs/>
                <w:sz w:val="18"/>
                <w:szCs w:val="18"/>
                <w:lang w:val="en-GB"/>
              </w:rPr>
              <w:t>V</w:t>
            </w:r>
            <w:r>
              <w:rPr>
                <w:rFonts w:cs="Arial" w:ascii="Arial" w:hAnsi="Arial"/>
                <w:b/>
                <w:i/>
                <w:iCs/>
                <w:sz w:val="18"/>
                <w:szCs w:val="18"/>
                <w:lang w:val="en-GB"/>
              </w:rPr>
              <w:t xml:space="preserve">= Contract Value of </w:t>
            </w:r>
            <w:r>
              <w:rPr>
                <w:rFonts w:cs="Arial" w:ascii="Arial" w:hAnsi="Arial"/>
                <w:b/>
                <w:i/>
                <w:sz w:val="18"/>
                <w:szCs w:val="18"/>
                <w:lang w:val="en-GB"/>
              </w:rPr>
              <w:t>undelivered Goods or any part thereof, delivered after expiry of the Delivery and Completion Schedule or extended Delivery and Completion Schedule, as applicable</w:t>
            </w:r>
          </w:p>
          <w:p>
            <w:pPr>
              <w:pStyle w:val="Normal"/>
              <w:widowControl w:val="false"/>
              <w:spacing w:before="120" w:after="120"/>
              <w:ind w:left="552" w:right="-72" w:hanging="550"/>
              <w:jc w:val="both"/>
              <w:rPr>
                <w:rFonts w:ascii="Arial" w:hAnsi="Arial" w:cs="Arial"/>
                <w:b/>
                <w:b/>
                <w:i/>
                <w:i/>
                <w:iCs/>
                <w:sz w:val="18"/>
                <w:szCs w:val="18"/>
                <w:lang w:val="en-GB"/>
              </w:rPr>
            </w:pPr>
            <w:r>
              <w:rPr>
                <w:rFonts w:cs="Arial" w:ascii="Arial" w:hAnsi="Arial"/>
                <w:iCs/>
                <w:sz w:val="18"/>
                <w:szCs w:val="18"/>
                <w:lang w:val="en-GB"/>
              </w:rPr>
              <w:t xml:space="preserve">P </w:t>
            </w:r>
            <w:r>
              <w:rPr>
                <w:rFonts w:cs="Arial" w:ascii="Arial" w:hAnsi="Arial"/>
                <w:b/>
                <w:i/>
                <w:iCs/>
                <w:sz w:val="18"/>
                <w:szCs w:val="18"/>
                <w:lang w:val="en-GB"/>
              </w:rPr>
              <w:t xml:space="preserve"> =  Percent-rate  at which the Liquidated Damages shall be imposed per day of delay</w:t>
            </w:r>
          </w:p>
          <w:p>
            <w:pPr>
              <w:pStyle w:val="Normal"/>
              <w:widowControl w:val="false"/>
              <w:spacing w:before="120" w:after="120"/>
              <w:ind w:left="522" w:right="-72" w:hanging="630"/>
              <w:jc w:val="both"/>
              <w:rPr>
                <w:rFonts w:ascii="Arial" w:hAnsi="Arial" w:cs="Arial"/>
                <w:b/>
                <w:b/>
                <w:i/>
                <w:i/>
                <w:iCs/>
                <w:sz w:val="18"/>
                <w:szCs w:val="18"/>
                <w:lang w:val="en-GB"/>
              </w:rPr>
            </w:pPr>
            <w:r>
              <w:rPr>
                <w:rFonts w:cs="Arial" w:ascii="Arial" w:hAnsi="Arial"/>
                <w:iCs/>
                <w:sz w:val="18"/>
                <w:szCs w:val="18"/>
                <w:lang w:val="en-GB"/>
              </w:rPr>
              <w:t xml:space="preserve">n </w:t>
            </w:r>
            <w:r>
              <w:rPr>
                <w:rFonts w:cs="Arial" w:ascii="Arial" w:hAnsi="Arial"/>
                <w:b/>
                <w:i/>
                <w:iCs/>
                <w:sz w:val="18"/>
                <w:szCs w:val="18"/>
                <w:lang w:val="en-GB"/>
              </w:rPr>
              <w:t xml:space="preserve">= No of daysdelayed for delivery of the </w:t>
            </w:r>
            <w:r>
              <w:rPr>
                <w:rFonts w:cs="Arial" w:ascii="Arial" w:hAnsi="Arial"/>
                <w:b/>
                <w:i/>
                <w:sz w:val="18"/>
                <w:szCs w:val="18"/>
                <w:lang w:val="en-GB"/>
              </w:rPr>
              <w:t>undelivered Goods or any part thereof, after expiry of the Delivery and Completion Schedule or extended Delivery and Completion Schedule, as applicable.</w:t>
            </w:r>
          </w:p>
          <w:p>
            <w:pPr>
              <w:pStyle w:val="Normal"/>
              <w:widowControl w:val="false"/>
              <w:tabs>
                <w:tab w:val="clear" w:pos="720"/>
                <w:tab w:val="right" w:pos="7164" w:leader="none"/>
              </w:tabs>
              <w:spacing w:before="120" w:after="120"/>
              <w:rPr>
                <w:rFonts w:ascii="Arial" w:hAnsi="Arial" w:cs="Arial"/>
                <w:i/>
                <w:i/>
                <w:sz w:val="22"/>
                <w:szCs w:val="22"/>
                <w:lang w:val="en-GB"/>
              </w:rPr>
            </w:pPr>
            <w:r>
              <w:rPr>
                <w:rFonts w:cs="Arial" w:ascii="Arial" w:hAnsi="Arial"/>
                <w:i/>
                <w:sz w:val="22"/>
                <w:szCs w:val="22"/>
                <w:lang w:val="en-GB"/>
              </w:rPr>
            </w:r>
          </w:p>
        </w:tc>
      </w:tr>
      <w:tr>
        <w:trPr>
          <w:trHeight w:val="1047" w:hRule="atLeast"/>
          <w:cantSplit w:val="true"/>
        </w:trPr>
        <w:tc>
          <w:tcPr>
            <w:tcW w:w="197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Arial" w:hAnsi="Arial" w:cs="Arial"/>
                <w:b/>
                <w:b/>
                <w:sz w:val="22"/>
                <w:szCs w:val="22"/>
                <w:lang w:val="en-GB"/>
              </w:rPr>
            </w:pPr>
            <w:r>
              <w:rPr>
                <w:rFonts w:cs="Arial" w:ascii="Arial" w:hAnsi="Arial"/>
                <w:b/>
                <w:sz w:val="22"/>
                <w:szCs w:val="22"/>
                <w:lang w:val="en-GB"/>
              </w:rPr>
            </w:r>
          </w:p>
        </w:tc>
        <w:tc>
          <w:tcPr>
            <w:tcW w:w="7741" w:type="dxa"/>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20"/>
                <w:tab w:val="right" w:pos="7164" w:leader="none"/>
              </w:tabs>
              <w:spacing w:before="120" w:after="120"/>
              <w:rPr>
                <w:rFonts w:ascii="Arial" w:hAnsi="Arial" w:cs="Arial"/>
                <w:sz w:val="22"/>
                <w:szCs w:val="22"/>
                <w:lang w:val="en-GB"/>
              </w:rPr>
            </w:pPr>
            <w:r>
              <w:rPr>
                <w:rFonts w:cs="Arial" w:ascii="Arial" w:hAnsi="Arial"/>
                <w:sz w:val="21"/>
                <w:szCs w:val="21"/>
                <w:lang w:val="en-GB"/>
              </w:rPr>
              <w:t>The maximum amount of Liquidated Damages for the undelivered Goods or any part thereof is ten (10) percent of the final Contract Price of the whole of the Goods and related services.</w:t>
            </w:r>
          </w:p>
        </w:tc>
      </w:tr>
      <w:tr>
        <w:trPr>
          <w:trHeight w:val="543" w:hRule="atLeast"/>
          <w:cantSplit w:val="true"/>
        </w:trPr>
        <w:tc>
          <w:tcPr>
            <w:tcW w:w="1978"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120"/>
              <w:rPr>
                <w:rFonts w:ascii="Arial" w:hAnsi="Arial" w:cs="Arial"/>
                <w:b/>
                <w:b/>
                <w:sz w:val="22"/>
                <w:szCs w:val="22"/>
                <w:lang w:val="en-GB"/>
              </w:rPr>
            </w:pPr>
            <w:r>
              <w:rPr>
                <w:rFonts w:cs="Arial" w:ascii="Arial" w:hAnsi="Arial"/>
                <w:b/>
                <w:sz w:val="22"/>
                <w:szCs w:val="22"/>
                <w:lang w:val="en-GB"/>
              </w:rPr>
              <w:t>GCC 42.3(b)</w:t>
            </w:r>
          </w:p>
        </w:tc>
        <w:tc>
          <w:tcPr>
            <w:tcW w:w="7741" w:type="dxa"/>
            <w:tcBorders>
              <w:top w:val="single" w:sz="6" w:space="0" w:color="000000"/>
              <w:left w:val="single" w:sz="6" w:space="0" w:color="000000"/>
              <w:bottom w:val="single" w:sz="6" w:space="0" w:color="000000"/>
              <w:right w:val="single" w:sz="6" w:space="0" w:color="000000"/>
            </w:tcBorders>
          </w:tcPr>
          <w:p>
            <w:pPr>
              <w:pStyle w:val="Normal"/>
              <w:widowControl w:val="false"/>
              <w:tabs>
                <w:tab w:val="clear" w:pos="720"/>
                <w:tab w:val="right" w:pos="7164" w:leader="none"/>
              </w:tabs>
              <w:spacing w:before="120" w:after="120"/>
              <w:rPr>
                <w:rFonts w:ascii="Arial" w:hAnsi="Arial" w:cs="Arial"/>
                <w:sz w:val="22"/>
                <w:szCs w:val="22"/>
                <w:lang w:val="en-GB"/>
              </w:rPr>
            </w:pPr>
            <w:r>
              <w:rPr>
                <w:rFonts w:cs="Arial" w:ascii="Arial" w:hAnsi="Arial"/>
                <w:sz w:val="22"/>
                <w:szCs w:val="22"/>
                <w:lang w:val="en-GB"/>
              </w:rPr>
              <w:t xml:space="preserve">Arbitration shall take place in: </w:t>
            </w:r>
            <w:r>
              <w:rPr>
                <w:rFonts w:cs="Arial" w:ascii="Arial" w:hAnsi="Arial"/>
                <w:i/>
                <w:sz w:val="18"/>
                <w:szCs w:val="18"/>
                <w:lang w:val="en-GB"/>
              </w:rPr>
              <w:t>[insert the name of the place with location and district]</w:t>
            </w:r>
          </w:p>
        </w:tc>
      </w:tr>
    </w:tbl>
    <w:p>
      <w:pPr>
        <w:pStyle w:val="Normal"/>
        <w:rPr>
          <w:rFonts w:ascii="Arial" w:hAnsi="Arial" w:cs="Arial"/>
          <w:lang w:val="en-GB"/>
        </w:rPr>
      </w:pPr>
      <w:r>
        <w:rPr>
          <w:rFonts w:cs="Arial" w:ascii="Arial" w:hAnsi="Arial"/>
          <w:lang w:val="en-GB"/>
        </w:rPr>
      </w:r>
    </w:p>
    <w:p>
      <w:pPr>
        <w:pStyle w:val="Normal"/>
        <w:rPr>
          <w:rFonts w:ascii="Arial" w:hAnsi="Arial" w:cs="Arial"/>
          <w:lang w:val="en-GB"/>
        </w:rPr>
      </w:pPr>
      <w:r>
        <w:rPr>
          <w:rFonts w:cs="Arial" w:ascii="Arial" w:hAnsi="Arial"/>
          <w:lang w:val="en-GB"/>
        </w:rPr>
      </w:r>
    </w:p>
    <w:tbl>
      <w:tblPr>
        <w:tblW w:w="9000"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9000"/>
      </w:tblGrid>
      <w:tr>
        <w:trPr>
          <w:trHeight w:val="800" w:hRule="atLeast"/>
        </w:trPr>
        <w:tc>
          <w:tcPr>
            <w:tcW w:w="9000" w:type="dxa"/>
            <w:tcBorders/>
            <w:vAlign w:val="center"/>
          </w:tcPr>
          <w:p>
            <w:pPr>
              <w:pStyle w:val="Heading1"/>
              <w:widowControl w:val="false"/>
              <w:spacing w:before="120" w:after="120"/>
              <w:rPr>
                <w:rFonts w:ascii="Arial" w:hAnsi="Arial" w:cs="Arial"/>
                <w:sz w:val="32"/>
                <w:lang w:val="en-GB"/>
              </w:rPr>
            </w:pPr>
            <w:bookmarkStart w:id="779" w:name="_Toc421454325"/>
            <w:r>
              <w:rPr>
                <w:rFonts w:cs="Arial" w:ascii="Arial" w:hAnsi="Arial"/>
                <w:sz w:val="32"/>
                <w:lang w:val="en-GB"/>
              </w:rPr>
              <w:t>Section 5.Tender and Contract Forms</w:t>
            </w:r>
            <w:bookmarkEnd w:id="779"/>
          </w:p>
        </w:tc>
      </w:tr>
    </w:tbl>
    <w:p>
      <w:pPr>
        <w:pStyle w:val="SectionVHeader"/>
        <w:ind w:right="240" w:hanging="0"/>
        <w:jc w:val="right"/>
        <w:rPr>
          <w:rFonts w:ascii="Arial" w:hAnsi="Arial" w:cs="Arial"/>
          <w:sz w:val="24"/>
          <w:szCs w:val="24"/>
          <w:lang w:val="en-GB"/>
        </w:rPr>
      </w:pPr>
      <w:r>
        <w:rPr>
          <w:rFonts w:cs="Arial" w:ascii="Arial" w:hAnsi="Arial"/>
          <w:sz w:val="24"/>
          <w:szCs w:val="24"/>
          <w:lang w:val="en-GB"/>
        </w:rPr>
      </w:r>
    </w:p>
    <w:p>
      <w:pPr>
        <w:pStyle w:val="Normal"/>
        <w:jc w:val="both"/>
        <w:rPr>
          <w:rFonts w:ascii="Arial" w:hAnsi="Arial" w:cs="Arial"/>
          <w:lang w:val="en-GB"/>
        </w:rPr>
      </w:pPr>
      <w:r>
        <w:rPr>
          <w:rFonts w:cs="Arial" w:ascii="Arial" w:hAnsi="Arial"/>
          <w:lang w:val="en-GB"/>
        </w:rPr>
      </w:r>
    </w:p>
    <w:tbl>
      <w:tblPr>
        <w:tblW w:w="9000"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1440"/>
        <w:gridCol w:w="7559"/>
      </w:tblGrid>
      <w:tr>
        <w:trPr/>
        <w:tc>
          <w:tcPr>
            <w:tcW w:w="1440" w:type="dxa"/>
            <w:tcBorders/>
          </w:tcPr>
          <w:p>
            <w:pPr>
              <w:pStyle w:val="Normal"/>
              <w:widowControl w:val="false"/>
              <w:spacing w:before="120" w:after="120"/>
              <w:ind w:left="270" w:hanging="0"/>
              <w:jc w:val="both"/>
              <w:rPr>
                <w:rFonts w:ascii="Arial" w:hAnsi="Arial" w:cs="Arial"/>
                <w:b/>
                <w:b/>
                <w:bCs/>
                <w:sz w:val="22"/>
                <w:szCs w:val="22"/>
                <w:lang w:val="en-GB"/>
              </w:rPr>
            </w:pPr>
            <w:r>
              <w:rPr>
                <w:rFonts w:cs="Arial" w:ascii="Arial" w:hAnsi="Arial"/>
                <w:b/>
                <w:bCs/>
                <w:sz w:val="22"/>
                <w:szCs w:val="22"/>
                <w:lang w:val="en-GB"/>
              </w:rPr>
              <w:t>Form</w:t>
            </w:r>
          </w:p>
        </w:tc>
        <w:tc>
          <w:tcPr>
            <w:tcW w:w="7559" w:type="dxa"/>
            <w:tcBorders/>
          </w:tcPr>
          <w:p>
            <w:pPr>
              <w:pStyle w:val="Normal"/>
              <w:widowControl w:val="false"/>
              <w:spacing w:before="120" w:after="120"/>
              <w:ind w:left="-18" w:hanging="0"/>
              <w:jc w:val="both"/>
              <w:rPr>
                <w:rFonts w:ascii="Arial" w:hAnsi="Arial" w:cs="Arial"/>
                <w:b/>
                <w:b/>
                <w:bCs/>
                <w:sz w:val="22"/>
                <w:szCs w:val="22"/>
                <w:lang w:val="en-GB"/>
              </w:rPr>
            </w:pPr>
            <w:r>
              <w:rPr>
                <w:rFonts w:cs="Arial" w:ascii="Arial" w:hAnsi="Arial"/>
                <w:b/>
                <w:bCs/>
                <w:sz w:val="22"/>
                <w:szCs w:val="22"/>
                <w:lang w:val="en-GB"/>
              </w:rPr>
              <w:t>Title</w:t>
            </w:r>
          </w:p>
        </w:tc>
      </w:tr>
      <w:tr>
        <w:trPr/>
        <w:tc>
          <w:tcPr>
            <w:tcW w:w="1440" w:type="dxa"/>
            <w:tcBorders/>
          </w:tcPr>
          <w:p>
            <w:pPr>
              <w:pStyle w:val="Normal"/>
              <w:widowControl w:val="false"/>
              <w:spacing w:before="120" w:after="120"/>
              <w:ind w:left="270" w:hanging="0"/>
              <w:jc w:val="both"/>
              <w:rPr>
                <w:rFonts w:ascii="Arial" w:hAnsi="Arial" w:cs="Arial"/>
                <w:sz w:val="22"/>
                <w:szCs w:val="22"/>
                <w:lang w:val="en-GB"/>
              </w:rPr>
            </w:pPr>
            <w:r>
              <w:rPr>
                <w:rFonts w:cs="Arial" w:ascii="Arial" w:hAnsi="Arial"/>
                <w:sz w:val="22"/>
                <w:szCs w:val="22"/>
                <w:lang w:val="en-GB"/>
              </w:rPr>
            </w:r>
          </w:p>
        </w:tc>
        <w:tc>
          <w:tcPr>
            <w:tcW w:w="7559" w:type="dxa"/>
            <w:tcBorders/>
          </w:tcPr>
          <w:p>
            <w:pPr>
              <w:pStyle w:val="Heading9"/>
              <w:widowControl w:val="false"/>
              <w:spacing w:before="120" w:after="120"/>
              <w:ind w:left="-18" w:hanging="0"/>
              <w:rPr>
                <w:szCs w:val="20"/>
              </w:rPr>
            </w:pPr>
            <w:bookmarkStart w:id="780" w:name="_Toc50275642"/>
            <w:r>
              <w:rPr/>
              <w:t>Tender Forms</w:t>
            </w:r>
            <w:bookmarkEnd w:id="780"/>
          </w:p>
        </w:tc>
      </w:tr>
      <w:tr>
        <w:trPr/>
        <w:tc>
          <w:tcPr>
            <w:tcW w:w="1440" w:type="dxa"/>
            <w:tcBorders/>
          </w:tcPr>
          <w:p>
            <w:pPr>
              <w:pStyle w:val="Normal"/>
              <w:widowControl w:val="false"/>
              <w:spacing w:before="120" w:after="120"/>
              <w:ind w:left="270" w:hanging="0"/>
              <w:jc w:val="both"/>
              <w:rPr>
                <w:rFonts w:ascii="Arial" w:hAnsi="Arial" w:cs="Arial"/>
                <w:sz w:val="22"/>
                <w:szCs w:val="22"/>
                <w:lang w:val="en-GB"/>
              </w:rPr>
            </w:pPr>
            <w:r>
              <w:rPr>
                <w:rFonts w:cs="Arial" w:ascii="Arial" w:hAnsi="Arial"/>
                <w:sz w:val="22"/>
                <w:szCs w:val="22"/>
                <w:lang w:val="en-GB"/>
              </w:rPr>
              <w:t>PG3 – 1</w:t>
            </w:r>
          </w:p>
        </w:tc>
        <w:tc>
          <w:tcPr>
            <w:tcW w:w="7559" w:type="dxa"/>
            <w:tcBorders/>
          </w:tcPr>
          <w:p>
            <w:pPr>
              <w:pStyle w:val="Normal"/>
              <w:widowControl w:val="false"/>
              <w:spacing w:before="120" w:after="120"/>
              <w:ind w:left="-18" w:hanging="0"/>
              <w:jc w:val="both"/>
              <w:rPr>
                <w:rFonts w:ascii="Arial" w:hAnsi="Arial" w:cs="Arial"/>
                <w:sz w:val="22"/>
                <w:szCs w:val="22"/>
                <w:lang w:val="en-GB"/>
              </w:rPr>
            </w:pPr>
            <w:r>
              <w:rPr>
                <w:rFonts w:cs="Arial" w:ascii="Arial" w:hAnsi="Arial"/>
                <w:sz w:val="22"/>
                <w:szCs w:val="22"/>
                <w:lang w:val="en-GB"/>
              </w:rPr>
              <w:t>Tender Submission Letter</w:t>
            </w:r>
          </w:p>
        </w:tc>
      </w:tr>
      <w:tr>
        <w:trPr/>
        <w:tc>
          <w:tcPr>
            <w:tcW w:w="1440" w:type="dxa"/>
            <w:tcBorders/>
          </w:tcPr>
          <w:p>
            <w:pPr>
              <w:pStyle w:val="Normal"/>
              <w:widowControl w:val="false"/>
              <w:spacing w:before="120" w:after="120"/>
              <w:ind w:left="270" w:hanging="0"/>
              <w:jc w:val="both"/>
              <w:rPr>
                <w:rFonts w:ascii="Arial" w:hAnsi="Arial" w:cs="Arial"/>
                <w:sz w:val="22"/>
                <w:szCs w:val="22"/>
                <w:lang w:val="en-GB"/>
              </w:rPr>
            </w:pPr>
            <w:r>
              <w:rPr>
                <w:rFonts w:cs="Arial" w:ascii="Arial" w:hAnsi="Arial"/>
                <w:sz w:val="22"/>
                <w:szCs w:val="22"/>
                <w:lang w:val="en-GB"/>
              </w:rPr>
              <w:t>PG3 – 2</w:t>
            </w:r>
          </w:p>
        </w:tc>
        <w:tc>
          <w:tcPr>
            <w:tcW w:w="7559" w:type="dxa"/>
            <w:tcBorders/>
          </w:tcPr>
          <w:p>
            <w:pPr>
              <w:pStyle w:val="Normal"/>
              <w:widowControl w:val="false"/>
              <w:spacing w:before="120" w:after="120"/>
              <w:ind w:left="-18" w:hanging="0"/>
              <w:jc w:val="both"/>
              <w:rPr>
                <w:rFonts w:ascii="Arial" w:hAnsi="Arial" w:cs="Arial"/>
                <w:sz w:val="22"/>
                <w:szCs w:val="22"/>
                <w:lang w:val="en-GB"/>
              </w:rPr>
            </w:pPr>
            <w:r>
              <w:rPr>
                <w:rFonts w:cs="Arial" w:ascii="Arial" w:hAnsi="Arial"/>
                <w:sz w:val="22"/>
                <w:szCs w:val="22"/>
                <w:lang w:val="en-GB"/>
              </w:rPr>
              <w:t>Tenderer Information Sheet</w:t>
            </w:r>
          </w:p>
        </w:tc>
      </w:tr>
      <w:tr>
        <w:trPr/>
        <w:tc>
          <w:tcPr>
            <w:tcW w:w="1440" w:type="dxa"/>
            <w:tcBorders/>
          </w:tcPr>
          <w:p>
            <w:pPr>
              <w:pStyle w:val="Normal"/>
              <w:widowControl w:val="false"/>
              <w:spacing w:before="120" w:after="120"/>
              <w:ind w:left="270" w:hanging="0"/>
              <w:jc w:val="both"/>
              <w:rPr>
                <w:rFonts w:ascii="Arial" w:hAnsi="Arial" w:cs="Arial"/>
                <w:sz w:val="22"/>
                <w:szCs w:val="22"/>
                <w:lang w:val="en-GB"/>
              </w:rPr>
            </w:pPr>
            <w:r>
              <w:rPr>
                <w:rFonts w:cs="Arial" w:ascii="Arial" w:hAnsi="Arial"/>
                <w:sz w:val="22"/>
                <w:szCs w:val="22"/>
                <w:lang w:val="en-GB"/>
              </w:rPr>
              <w:t>PG3 -- 3</w:t>
            </w:r>
          </w:p>
        </w:tc>
        <w:tc>
          <w:tcPr>
            <w:tcW w:w="7559" w:type="dxa"/>
            <w:tcBorders/>
          </w:tcPr>
          <w:p>
            <w:pPr>
              <w:pStyle w:val="Normal"/>
              <w:widowControl w:val="false"/>
              <w:spacing w:before="120" w:after="120"/>
              <w:ind w:left="-18" w:hanging="0"/>
              <w:jc w:val="both"/>
              <w:rPr>
                <w:rFonts w:ascii="Arial" w:hAnsi="Arial" w:cs="Arial"/>
                <w:sz w:val="22"/>
                <w:szCs w:val="22"/>
                <w:lang w:val="en-GB"/>
              </w:rPr>
            </w:pPr>
            <w:r>
              <w:rPr>
                <w:rFonts w:cs="Arial" w:ascii="Arial" w:hAnsi="Arial"/>
                <w:sz w:val="21"/>
                <w:szCs w:val="21"/>
                <w:lang w:val="en-GB"/>
              </w:rPr>
              <w:t>Subcontractor Information (</w:t>
            </w:r>
            <w:r>
              <w:rPr>
                <w:rFonts w:cs="Arial" w:ascii="Arial" w:hAnsi="Arial"/>
                <w:i/>
                <w:sz w:val="21"/>
                <w:szCs w:val="21"/>
                <w:lang w:val="en-GB"/>
              </w:rPr>
              <w:t>if applicable</w:t>
            </w:r>
            <w:r>
              <w:rPr>
                <w:rFonts w:cs="Arial" w:ascii="Arial" w:hAnsi="Arial"/>
                <w:sz w:val="21"/>
                <w:szCs w:val="21"/>
                <w:lang w:val="en-GB"/>
              </w:rPr>
              <w:t>)</w:t>
            </w:r>
          </w:p>
        </w:tc>
      </w:tr>
      <w:tr>
        <w:trPr/>
        <w:tc>
          <w:tcPr>
            <w:tcW w:w="1440" w:type="dxa"/>
            <w:tcBorders/>
          </w:tcPr>
          <w:p>
            <w:pPr>
              <w:pStyle w:val="Normal"/>
              <w:widowControl w:val="false"/>
              <w:spacing w:before="120" w:after="120"/>
              <w:ind w:left="270" w:hanging="0"/>
              <w:jc w:val="both"/>
              <w:rPr>
                <w:rFonts w:ascii="Arial" w:hAnsi="Arial" w:cs="Arial"/>
                <w:sz w:val="22"/>
                <w:szCs w:val="22"/>
                <w:lang w:val="en-GB"/>
              </w:rPr>
            </w:pPr>
            <w:r>
              <w:rPr>
                <w:rFonts w:cs="Arial" w:ascii="Arial" w:hAnsi="Arial"/>
                <w:sz w:val="22"/>
                <w:szCs w:val="22"/>
                <w:lang w:val="en-GB"/>
              </w:rPr>
              <w:t>PG3 –4A</w:t>
            </w:r>
          </w:p>
        </w:tc>
        <w:tc>
          <w:tcPr>
            <w:tcW w:w="7559" w:type="dxa"/>
            <w:tcBorders/>
          </w:tcPr>
          <w:p>
            <w:pPr>
              <w:pStyle w:val="Normal"/>
              <w:widowControl w:val="false"/>
              <w:spacing w:before="120" w:after="120"/>
              <w:ind w:left="-18" w:hanging="0"/>
              <w:jc w:val="both"/>
              <w:rPr>
                <w:rFonts w:ascii="Arial" w:hAnsi="Arial" w:cs="Arial"/>
                <w:sz w:val="22"/>
                <w:szCs w:val="22"/>
                <w:lang w:val="en-GB"/>
              </w:rPr>
            </w:pPr>
            <w:r>
              <w:rPr>
                <w:rFonts w:cs="Arial" w:ascii="Arial" w:hAnsi="Arial"/>
                <w:sz w:val="22"/>
                <w:szCs w:val="22"/>
                <w:lang w:val="en-GB"/>
              </w:rPr>
              <w:t>Price Schedule for Goods</w:t>
            </w:r>
          </w:p>
        </w:tc>
      </w:tr>
      <w:tr>
        <w:trPr/>
        <w:tc>
          <w:tcPr>
            <w:tcW w:w="1440" w:type="dxa"/>
            <w:tcBorders/>
          </w:tcPr>
          <w:p>
            <w:pPr>
              <w:pStyle w:val="Normal"/>
              <w:widowControl w:val="false"/>
              <w:spacing w:before="120" w:after="120"/>
              <w:ind w:left="270" w:hanging="0"/>
              <w:jc w:val="both"/>
              <w:rPr>
                <w:rFonts w:ascii="Arial" w:hAnsi="Arial" w:cs="Arial"/>
                <w:sz w:val="22"/>
                <w:szCs w:val="22"/>
                <w:lang w:val="en-GB"/>
              </w:rPr>
            </w:pPr>
            <w:r>
              <w:rPr>
                <w:rFonts w:cs="Arial" w:ascii="Arial" w:hAnsi="Arial"/>
                <w:sz w:val="22"/>
                <w:szCs w:val="22"/>
                <w:lang w:val="en-GB"/>
              </w:rPr>
              <w:t>PG3 –4B</w:t>
            </w:r>
          </w:p>
        </w:tc>
        <w:tc>
          <w:tcPr>
            <w:tcW w:w="7559" w:type="dxa"/>
            <w:tcBorders/>
          </w:tcPr>
          <w:p>
            <w:pPr>
              <w:pStyle w:val="Normal"/>
              <w:widowControl w:val="false"/>
              <w:spacing w:before="120" w:after="120"/>
              <w:ind w:left="-18" w:hanging="0"/>
              <w:jc w:val="both"/>
              <w:rPr>
                <w:rFonts w:ascii="Arial" w:hAnsi="Arial" w:cs="Arial"/>
                <w:sz w:val="22"/>
                <w:szCs w:val="22"/>
                <w:lang w:val="en-GB"/>
              </w:rPr>
            </w:pPr>
            <w:r>
              <w:rPr>
                <w:rFonts w:cs="Arial" w:ascii="Arial" w:hAnsi="Arial"/>
                <w:sz w:val="22"/>
                <w:szCs w:val="22"/>
                <w:lang w:val="en-GB"/>
              </w:rPr>
              <w:t>Price Schedule for Related Services</w:t>
            </w:r>
          </w:p>
        </w:tc>
      </w:tr>
      <w:tr>
        <w:trPr/>
        <w:tc>
          <w:tcPr>
            <w:tcW w:w="1440" w:type="dxa"/>
            <w:tcBorders/>
          </w:tcPr>
          <w:p>
            <w:pPr>
              <w:pStyle w:val="Normal"/>
              <w:widowControl w:val="false"/>
              <w:spacing w:before="120" w:after="120"/>
              <w:ind w:left="270" w:hanging="0"/>
              <w:jc w:val="both"/>
              <w:rPr>
                <w:rFonts w:ascii="Arial" w:hAnsi="Arial" w:cs="Arial"/>
                <w:sz w:val="22"/>
                <w:szCs w:val="22"/>
                <w:lang w:val="en-GB"/>
              </w:rPr>
            </w:pPr>
            <w:r>
              <w:rPr>
                <w:rFonts w:cs="Arial" w:ascii="Arial" w:hAnsi="Arial"/>
                <w:sz w:val="22"/>
                <w:szCs w:val="22"/>
                <w:lang w:val="en-GB"/>
              </w:rPr>
              <w:t>PG3 – 5</w:t>
            </w:r>
          </w:p>
        </w:tc>
        <w:tc>
          <w:tcPr>
            <w:tcW w:w="7559" w:type="dxa"/>
            <w:tcBorders/>
          </w:tcPr>
          <w:p>
            <w:pPr>
              <w:pStyle w:val="Normal"/>
              <w:widowControl w:val="false"/>
              <w:spacing w:before="120" w:after="120"/>
              <w:ind w:left="-18" w:hanging="0"/>
              <w:jc w:val="both"/>
              <w:rPr>
                <w:rFonts w:ascii="Arial" w:hAnsi="Arial" w:cs="Arial"/>
                <w:sz w:val="22"/>
                <w:szCs w:val="22"/>
                <w:lang w:val="en-GB"/>
              </w:rPr>
            </w:pPr>
            <w:r>
              <w:rPr>
                <w:rFonts w:cs="Arial" w:ascii="Arial" w:hAnsi="Arial"/>
                <w:sz w:val="22"/>
                <w:szCs w:val="22"/>
                <w:lang w:val="en-GB"/>
              </w:rPr>
              <w:t>Specifications Submission and Compliance Sheet</w:t>
            </w:r>
          </w:p>
        </w:tc>
      </w:tr>
      <w:tr>
        <w:trPr/>
        <w:tc>
          <w:tcPr>
            <w:tcW w:w="1440" w:type="dxa"/>
            <w:tcBorders/>
          </w:tcPr>
          <w:p>
            <w:pPr>
              <w:pStyle w:val="Normal"/>
              <w:widowControl w:val="false"/>
              <w:spacing w:before="120" w:after="120"/>
              <w:ind w:left="270" w:hanging="0"/>
              <w:jc w:val="both"/>
              <w:rPr>
                <w:rFonts w:ascii="Arial" w:hAnsi="Arial" w:cs="Arial"/>
                <w:sz w:val="22"/>
                <w:szCs w:val="22"/>
                <w:lang w:val="en-GB"/>
              </w:rPr>
            </w:pPr>
            <w:r>
              <w:rPr>
                <w:rFonts w:cs="Arial" w:ascii="Arial" w:hAnsi="Arial"/>
                <w:sz w:val="22"/>
                <w:szCs w:val="22"/>
                <w:lang w:val="en-GB"/>
              </w:rPr>
              <w:t>PG3 – 6</w:t>
            </w:r>
          </w:p>
        </w:tc>
        <w:tc>
          <w:tcPr>
            <w:tcW w:w="7559" w:type="dxa"/>
            <w:tcBorders/>
          </w:tcPr>
          <w:p>
            <w:pPr>
              <w:pStyle w:val="Normal"/>
              <w:widowControl w:val="false"/>
              <w:spacing w:before="120" w:after="120"/>
              <w:ind w:left="-18" w:hanging="0"/>
              <w:jc w:val="both"/>
              <w:rPr>
                <w:rFonts w:ascii="Arial" w:hAnsi="Arial" w:cs="Arial"/>
                <w:sz w:val="22"/>
                <w:szCs w:val="22"/>
                <w:lang w:val="en-GB"/>
              </w:rPr>
            </w:pPr>
            <w:r>
              <w:rPr>
                <w:rFonts w:cs="Arial" w:ascii="Arial" w:hAnsi="Arial"/>
                <w:sz w:val="22"/>
                <w:szCs w:val="22"/>
                <w:lang w:val="en-GB"/>
              </w:rPr>
              <w:t>Manufacturer’s Authorisation Letter</w:t>
            </w:r>
          </w:p>
        </w:tc>
      </w:tr>
      <w:tr>
        <w:trPr/>
        <w:tc>
          <w:tcPr>
            <w:tcW w:w="1440" w:type="dxa"/>
            <w:tcBorders/>
          </w:tcPr>
          <w:p>
            <w:pPr>
              <w:pStyle w:val="Normal"/>
              <w:widowControl w:val="false"/>
              <w:spacing w:before="120" w:after="120"/>
              <w:ind w:left="270" w:hanging="0"/>
              <w:jc w:val="both"/>
              <w:rPr>
                <w:rFonts w:ascii="Arial" w:hAnsi="Arial" w:cs="Arial"/>
                <w:sz w:val="22"/>
                <w:szCs w:val="22"/>
                <w:lang w:val="en-GB"/>
              </w:rPr>
            </w:pPr>
            <w:r>
              <w:rPr>
                <w:rFonts w:cs="Arial" w:ascii="Arial" w:hAnsi="Arial"/>
                <w:sz w:val="22"/>
                <w:szCs w:val="22"/>
                <w:lang w:val="en-GB"/>
              </w:rPr>
              <w:t>PG3 – 7</w:t>
            </w:r>
          </w:p>
        </w:tc>
        <w:tc>
          <w:tcPr>
            <w:tcW w:w="7559" w:type="dxa"/>
            <w:tcBorders/>
          </w:tcPr>
          <w:p>
            <w:pPr>
              <w:pStyle w:val="Normal"/>
              <w:widowControl w:val="false"/>
              <w:spacing w:before="120" w:after="120"/>
              <w:ind w:left="-18" w:hanging="0"/>
              <w:jc w:val="both"/>
              <w:rPr>
                <w:rFonts w:ascii="Arial" w:hAnsi="Arial" w:cs="Arial"/>
                <w:sz w:val="22"/>
                <w:szCs w:val="22"/>
                <w:lang w:val="en-GB"/>
              </w:rPr>
            </w:pPr>
            <w:r>
              <w:rPr>
                <w:rFonts w:cs="Arial" w:ascii="Arial" w:hAnsi="Arial"/>
                <w:sz w:val="22"/>
                <w:szCs w:val="22"/>
                <w:lang w:val="en-GB"/>
              </w:rPr>
              <w:t>Bank Guarantee for Tender Security</w:t>
            </w:r>
            <w:r>
              <w:rPr>
                <w:rFonts w:cs="Arial" w:ascii="Arial" w:hAnsi="Arial"/>
                <w:i/>
                <w:sz w:val="22"/>
                <w:szCs w:val="22"/>
                <w:lang w:val="en-GB"/>
              </w:rPr>
              <w:t>(when this option is chosen</w:t>
            </w:r>
            <w:r>
              <w:rPr>
                <w:rFonts w:cs="Arial" w:ascii="Arial" w:hAnsi="Arial"/>
                <w:sz w:val="22"/>
                <w:szCs w:val="22"/>
                <w:lang w:val="en-GB"/>
              </w:rPr>
              <w:t>)</w:t>
            </w:r>
          </w:p>
        </w:tc>
      </w:tr>
      <w:tr>
        <w:trPr/>
        <w:tc>
          <w:tcPr>
            <w:tcW w:w="1440" w:type="dxa"/>
            <w:tcBorders/>
          </w:tcPr>
          <w:p>
            <w:pPr>
              <w:pStyle w:val="Normal"/>
              <w:widowControl w:val="false"/>
              <w:spacing w:before="120" w:after="120"/>
              <w:ind w:left="270" w:hanging="0"/>
              <w:jc w:val="both"/>
              <w:rPr>
                <w:rFonts w:ascii="Arial" w:hAnsi="Arial" w:cs="Arial"/>
                <w:sz w:val="22"/>
                <w:szCs w:val="22"/>
                <w:lang w:val="en-GB"/>
              </w:rPr>
            </w:pPr>
            <w:r>
              <w:rPr>
                <w:rFonts w:cs="Arial" w:ascii="Arial" w:hAnsi="Arial"/>
                <w:sz w:val="22"/>
                <w:szCs w:val="22"/>
                <w:lang w:val="en-GB"/>
              </w:rPr>
              <w:t>PG3 -- 8</w:t>
            </w:r>
          </w:p>
        </w:tc>
        <w:tc>
          <w:tcPr>
            <w:tcW w:w="7559" w:type="dxa"/>
            <w:tcBorders/>
          </w:tcPr>
          <w:p>
            <w:pPr>
              <w:pStyle w:val="Normal"/>
              <w:widowControl w:val="false"/>
              <w:spacing w:before="120" w:after="120"/>
              <w:ind w:left="-18" w:hanging="0"/>
              <w:jc w:val="both"/>
              <w:rPr>
                <w:rFonts w:ascii="Arial" w:hAnsi="Arial" w:cs="Arial"/>
                <w:sz w:val="22"/>
                <w:szCs w:val="22"/>
                <w:lang w:val="en-GB"/>
              </w:rPr>
            </w:pPr>
            <w:r>
              <w:rPr>
                <w:rFonts w:cs="Arial" w:ascii="Arial" w:hAnsi="Arial"/>
                <w:sz w:val="22"/>
                <w:szCs w:val="22"/>
                <w:lang w:val="en-GB"/>
              </w:rPr>
              <w:t xml:space="preserve">Bank’s Commitment for Line of Credit </w:t>
            </w:r>
            <w:r>
              <w:rPr>
                <w:rFonts w:cs="Arial" w:ascii="Arial" w:hAnsi="Arial"/>
                <w:i/>
                <w:sz w:val="22"/>
                <w:szCs w:val="22"/>
                <w:lang w:val="en-GB"/>
              </w:rPr>
              <w:t>(when this option is chosen</w:t>
            </w:r>
            <w:r>
              <w:rPr>
                <w:rFonts w:cs="Arial" w:ascii="Arial" w:hAnsi="Arial"/>
                <w:sz w:val="22"/>
                <w:szCs w:val="22"/>
                <w:lang w:val="en-GB"/>
              </w:rPr>
              <w:t>)</w:t>
            </w:r>
          </w:p>
        </w:tc>
      </w:tr>
      <w:tr>
        <w:trPr>
          <w:trHeight w:val="315" w:hRule="atLeast"/>
        </w:trPr>
        <w:tc>
          <w:tcPr>
            <w:tcW w:w="1440" w:type="dxa"/>
            <w:tcBorders/>
          </w:tcPr>
          <w:p>
            <w:pPr>
              <w:pStyle w:val="Normal"/>
              <w:widowControl w:val="false"/>
              <w:spacing w:before="120" w:after="120"/>
              <w:ind w:left="270" w:hanging="0"/>
              <w:jc w:val="both"/>
              <w:rPr>
                <w:rFonts w:ascii="Arial" w:hAnsi="Arial" w:cs="Arial"/>
                <w:sz w:val="22"/>
                <w:szCs w:val="22"/>
                <w:lang w:val="en-GB"/>
              </w:rPr>
            </w:pPr>
            <w:r>
              <w:rPr>
                <w:rFonts w:cs="Arial" w:ascii="Arial" w:hAnsi="Arial"/>
                <w:sz w:val="22"/>
                <w:szCs w:val="22"/>
                <w:lang w:val="en-GB"/>
              </w:rPr>
            </w:r>
          </w:p>
        </w:tc>
        <w:tc>
          <w:tcPr>
            <w:tcW w:w="7559" w:type="dxa"/>
            <w:tcBorders/>
          </w:tcPr>
          <w:p>
            <w:pPr>
              <w:pStyle w:val="Heading9"/>
              <w:widowControl w:val="false"/>
              <w:spacing w:before="120" w:after="120"/>
              <w:ind w:left="-18" w:hanging="0"/>
              <w:rPr>
                <w:szCs w:val="20"/>
              </w:rPr>
            </w:pPr>
            <w:bookmarkStart w:id="781" w:name="_Toc50275643"/>
            <w:r>
              <w:rPr>
                <w:szCs w:val="20"/>
              </w:rPr>
              <w:t>Contract Forms</w:t>
            </w:r>
            <w:bookmarkEnd w:id="781"/>
          </w:p>
        </w:tc>
      </w:tr>
      <w:tr>
        <w:trPr/>
        <w:tc>
          <w:tcPr>
            <w:tcW w:w="1440" w:type="dxa"/>
            <w:tcBorders/>
          </w:tcPr>
          <w:p>
            <w:pPr>
              <w:pStyle w:val="Normal"/>
              <w:widowControl w:val="false"/>
              <w:spacing w:before="120" w:after="120"/>
              <w:ind w:left="270" w:hanging="0"/>
              <w:jc w:val="both"/>
              <w:rPr>
                <w:rFonts w:ascii="Arial" w:hAnsi="Arial" w:cs="Arial"/>
                <w:sz w:val="22"/>
                <w:szCs w:val="22"/>
                <w:lang w:val="en-GB"/>
              </w:rPr>
            </w:pPr>
            <w:r>
              <w:rPr>
                <w:rFonts w:cs="Arial" w:ascii="Arial" w:hAnsi="Arial"/>
                <w:sz w:val="22"/>
                <w:szCs w:val="22"/>
                <w:lang w:val="en-GB"/>
              </w:rPr>
              <w:t>PG3 – 9</w:t>
            </w:r>
          </w:p>
        </w:tc>
        <w:tc>
          <w:tcPr>
            <w:tcW w:w="7559" w:type="dxa"/>
            <w:tcBorders/>
          </w:tcPr>
          <w:p>
            <w:pPr>
              <w:pStyle w:val="Normal"/>
              <w:widowControl w:val="false"/>
              <w:spacing w:before="120" w:after="120"/>
              <w:ind w:left="-18" w:hanging="0"/>
              <w:jc w:val="both"/>
              <w:rPr>
                <w:rFonts w:ascii="Arial" w:hAnsi="Arial" w:cs="Arial"/>
                <w:sz w:val="22"/>
                <w:szCs w:val="22"/>
                <w:lang w:val="en-GB"/>
              </w:rPr>
            </w:pPr>
            <w:r>
              <w:rPr>
                <w:rFonts w:cs="Arial" w:ascii="Arial" w:hAnsi="Arial"/>
                <w:sz w:val="22"/>
                <w:szCs w:val="22"/>
                <w:lang w:val="en-GB"/>
              </w:rPr>
              <w:t>Notification of Award</w:t>
            </w:r>
          </w:p>
        </w:tc>
      </w:tr>
      <w:tr>
        <w:trPr/>
        <w:tc>
          <w:tcPr>
            <w:tcW w:w="1440" w:type="dxa"/>
            <w:tcBorders/>
          </w:tcPr>
          <w:p>
            <w:pPr>
              <w:pStyle w:val="Normal"/>
              <w:widowControl w:val="false"/>
              <w:spacing w:before="120" w:after="120"/>
              <w:ind w:left="270" w:hanging="0"/>
              <w:jc w:val="both"/>
              <w:rPr>
                <w:rFonts w:ascii="Arial" w:hAnsi="Arial" w:cs="Arial"/>
                <w:sz w:val="22"/>
                <w:szCs w:val="22"/>
                <w:lang w:val="en-GB"/>
              </w:rPr>
            </w:pPr>
            <w:r>
              <w:rPr>
                <w:rFonts w:cs="Arial" w:ascii="Arial" w:hAnsi="Arial"/>
                <w:sz w:val="22"/>
                <w:szCs w:val="22"/>
                <w:lang w:val="en-GB"/>
              </w:rPr>
              <w:t>PG3–109</w:t>
            </w:r>
          </w:p>
        </w:tc>
        <w:tc>
          <w:tcPr>
            <w:tcW w:w="7559" w:type="dxa"/>
            <w:tcBorders/>
          </w:tcPr>
          <w:p>
            <w:pPr>
              <w:pStyle w:val="Normal"/>
              <w:widowControl w:val="false"/>
              <w:spacing w:before="120" w:after="120"/>
              <w:ind w:left="-18" w:hanging="0"/>
              <w:jc w:val="both"/>
              <w:rPr>
                <w:rFonts w:ascii="Arial" w:hAnsi="Arial" w:cs="Arial"/>
                <w:sz w:val="22"/>
                <w:szCs w:val="22"/>
                <w:lang w:val="en-GB"/>
              </w:rPr>
            </w:pPr>
            <w:r>
              <w:rPr>
                <w:rFonts w:cs="Arial" w:ascii="Arial" w:hAnsi="Arial"/>
                <w:sz w:val="22"/>
                <w:szCs w:val="22"/>
                <w:lang w:val="en-GB"/>
              </w:rPr>
              <w:t>Contract Agreement</w:t>
            </w:r>
          </w:p>
        </w:tc>
      </w:tr>
      <w:tr>
        <w:trPr/>
        <w:tc>
          <w:tcPr>
            <w:tcW w:w="1440" w:type="dxa"/>
            <w:tcBorders/>
          </w:tcPr>
          <w:p>
            <w:pPr>
              <w:pStyle w:val="Normal"/>
              <w:widowControl w:val="false"/>
              <w:spacing w:before="120" w:after="120"/>
              <w:ind w:left="270" w:hanging="0"/>
              <w:jc w:val="both"/>
              <w:rPr>
                <w:rFonts w:ascii="Arial" w:hAnsi="Arial" w:cs="Arial"/>
                <w:sz w:val="22"/>
                <w:szCs w:val="22"/>
                <w:lang w:val="en-GB"/>
              </w:rPr>
            </w:pPr>
            <w:r>
              <w:rPr>
                <w:rFonts w:cs="Arial" w:ascii="Arial" w:hAnsi="Arial"/>
                <w:sz w:val="22"/>
                <w:szCs w:val="22"/>
                <w:lang w:val="en-GB"/>
              </w:rPr>
              <w:t>PG3 – 11</w:t>
            </w:r>
          </w:p>
        </w:tc>
        <w:tc>
          <w:tcPr>
            <w:tcW w:w="7559" w:type="dxa"/>
            <w:tcBorders/>
          </w:tcPr>
          <w:p>
            <w:pPr>
              <w:pStyle w:val="Normal"/>
              <w:widowControl w:val="false"/>
              <w:spacing w:before="120" w:after="120"/>
              <w:ind w:left="-18" w:hanging="0"/>
              <w:jc w:val="both"/>
              <w:rPr>
                <w:rFonts w:ascii="Arial" w:hAnsi="Arial" w:cs="Arial"/>
                <w:sz w:val="22"/>
                <w:szCs w:val="22"/>
                <w:lang w:val="en-GB"/>
              </w:rPr>
            </w:pPr>
            <w:r>
              <w:rPr>
                <w:rFonts w:cs="Arial" w:ascii="Arial" w:hAnsi="Arial"/>
                <w:sz w:val="22"/>
                <w:szCs w:val="22"/>
                <w:lang w:val="en-GB"/>
              </w:rPr>
              <w:t>Bank Guarantee for Performance Security</w:t>
            </w:r>
            <w:r>
              <w:rPr>
                <w:rFonts w:cs="Arial" w:ascii="Arial" w:hAnsi="Arial"/>
                <w:i/>
                <w:sz w:val="22"/>
                <w:szCs w:val="22"/>
                <w:lang w:val="en-GB"/>
              </w:rPr>
              <w:t>(when this option is chosen</w:t>
            </w:r>
            <w:r>
              <w:rPr>
                <w:rFonts w:cs="Arial" w:ascii="Arial" w:hAnsi="Arial"/>
                <w:sz w:val="22"/>
                <w:szCs w:val="22"/>
                <w:lang w:val="en-GB"/>
              </w:rPr>
              <w:t>)</w:t>
            </w:r>
          </w:p>
        </w:tc>
      </w:tr>
      <w:tr>
        <w:trPr/>
        <w:tc>
          <w:tcPr>
            <w:tcW w:w="1440" w:type="dxa"/>
            <w:tcBorders/>
          </w:tcPr>
          <w:p>
            <w:pPr>
              <w:pStyle w:val="Normal"/>
              <w:widowControl w:val="false"/>
              <w:spacing w:before="120" w:after="120"/>
              <w:ind w:left="270" w:hanging="0"/>
              <w:jc w:val="both"/>
              <w:rPr>
                <w:rFonts w:ascii="Arial" w:hAnsi="Arial" w:cs="Arial"/>
                <w:sz w:val="22"/>
                <w:szCs w:val="22"/>
                <w:lang w:val="en-GB"/>
              </w:rPr>
            </w:pPr>
            <w:r>
              <w:rPr>
                <w:rFonts w:cs="Arial" w:ascii="Arial" w:hAnsi="Arial"/>
                <w:sz w:val="22"/>
                <w:szCs w:val="22"/>
                <w:lang w:val="en-GB"/>
              </w:rPr>
              <w:t>PG3 – 12</w:t>
            </w:r>
          </w:p>
        </w:tc>
        <w:tc>
          <w:tcPr>
            <w:tcW w:w="7559" w:type="dxa"/>
            <w:tcBorders/>
          </w:tcPr>
          <w:p>
            <w:pPr>
              <w:pStyle w:val="Normal"/>
              <w:widowControl w:val="false"/>
              <w:spacing w:before="120" w:after="120"/>
              <w:ind w:left="-18" w:hanging="0"/>
              <w:jc w:val="both"/>
              <w:rPr>
                <w:rFonts w:ascii="Arial" w:hAnsi="Arial" w:cs="Arial"/>
                <w:sz w:val="22"/>
                <w:szCs w:val="22"/>
                <w:lang w:val="en-GB"/>
              </w:rPr>
            </w:pPr>
            <w:r>
              <w:rPr>
                <w:rFonts w:cs="Arial" w:ascii="Arial" w:hAnsi="Arial"/>
                <w:sz w:val="22"/>
                <w:szCs w:val="22"/>
                <w:lang w:val="en-GB"/>
              </w:rPr>
              <w:t>Bank Guarantee for Advance Payment</w:t>
            </w:r>
            <w:r>
              <w:rPr>
                <w:rFonts w:cs="Arial" w:ascii="Arial" w:hAnsi="Arial"/>
                <w:i/>
                <w:sz w:val="22"/>
                <w:szCs w:val="22"/>
                <w:lang w:val="en-GB"/>
              </w:rPr>
              <w:t>(if applicable)</w:t>
            </w:r>
          </w:p>
        </w:tc>
      </w:tr>
    </w:tbl>
    <w:p>
      <w:pPr>
        <w:pStyle w:val="Normal"/>
        <w:ind w:left="270" w:hanging="0"/>
        <w:jc w:val="both"/>
        <w:rPr>
          <w:rFonts w:ascii="Arial" w:hAnsi="Arial" w:cs="Arial"/>
          <w:sz w:val="22"/>
          <w:szCs w:val="22"/>
          <w:lang w:val="en-GB"/>
        </w:rPr>
      </w:pPr>
      <w:r>
        <w:rPr>
          <w:rFonts w:cs="Arial" w:ascii="Arial" w:hAnsi="Arial"/>
          <w:sz w:val="22"/>
          <w:szCs w:val="22"/>
          <w:lang w:val="en-GB"/>
        </w:rPr>
      </w:r>
    </w:p>
    <w:p>
      <w:pPr>
        <w:pStyle w:val="Normal"/>
        <w:ind w:left="1530" w:hanging="1260"/>
        <w:jc w:val="both"/>
        <w:rPr>
          <w:rFonts w:ascii="Arial" w:hAnsi="Arial" w:cs="Arial"/>
          <w:sz w:val="22"/>
          <w:szCs w:val="22"/>
          <w:lang w:val="en-GB"/>
        </w:rPr>
      </w:pPr>
      <w:r>
        <w:rPr>
          <w:rFonts w:cs="Arial" w:ascii="Arial" w:hAnsi="Arial"/>
          <w:sz w:val="22"/>
          <w:szCs w:val="22"/>
          <w:lang w:val="en-GB"/>
        </w:rPr>
        <w:t>Forms PG3-1 to PG3-8 comprises part of the Tender and should be completed as stated in ITT Clause 21.</w:t>
      </w:r>
    </w:p>
    <w:p>
      <w:pPr>
        <w:pStyle w:val="Normal"/>
        <w:ind w:left="270" w:hanging="0"/>
        <w:jc w:val="both"/>
        <w:rPr>
          <w:rFonts w:ascii="Arial" w:hAnsi="Arial" w:cs="Arial"/>
          <w:sz w:val="22"/>
          <w:szCs w:val="22"/>
          <w:lang w:val="en-GB"/>
        </w:rPr>
      </w:pPr>
      <w:r>
        <w:rPr>
          <w:rFonts w:cs="Arial" w:ascii="Arial" w:hAnsi="Arial"/>
          <w:sz w:val="22"/>
          <w:szCs w:val="22"/>
          <w:lang w:val="en-GB"/>
        </w:rPr>
      </w:r>
    </w:p>
    <w:p>
      <w:pPr>
        <w:pStyle w:val="Normal"/>
        <w:ind w:left="270" w:hanging="0"/>
        <w:jc w:val="both"/>
        <w:rPr>
          <w:rFonts w:ascii="Arial" w:hAnsi="Arial" w:cs="Arial"/>
          <w:sz w:val="22"/>
          <w:szCs w:val="22"/>
          <w:lang w:val="en-GB"/>
        </w:rPr>
      </w:pPr>
      <w:r>
        <w:rPr>
          <w:rFonts w:cs="Arial" w:ascii="Arial" w:hAnsi="Arial"/>
          <w:sz w:val="22"/>
          <w:szCs w:val="22"/>
          <w:lang w:val="en-GB"/>
        </w:rPr>
        <w:t>Forms PG3-9 to PG3-12comprises part of the Contract as stated in GCC Clause7.</w:t>
      </w:r>
    </w:p>
    <w:p>
      <w:pPr>
        <w:pStyle w:val="Normal"/>
        <w:rPr>
          <w:rFonts w:ascii="Arial" w:hAnsi="Arial" w:cs="Arial"/>
          <w:sz w:val="22"/>
          <w:szCs w:val="22"/>
          <w:lang w:val="en-GB"/>
        </w:rPr>
      </w:pPr>
      <w:r>
        <w:rPr>
          <w:rFonts w:cs="Arial" w:ascii="Arial" w:hAnsi="Arial"/>
          <w:sz w:val="22"/>
          <w:szCs w:val="22"/>
          <w:lang w:val="en-GB"/>
        </w:rPr>
      </w:r>
    </w:p>
    <w:p>
      <w:pPr>
        <w:pStyle w:val="Normal"/>
        <w:rPr>
          <w:rFonts w:ascii="Arial" w:hAnsi="Arial" w:cs="Arial"/>
          <w:sz w:val="22"/>
          <w:szCs w:val="22"/>
          <w:lang w:val="en-GB"/>
        </w:rPr>
      </w:pPr>
      <w:r>
        <w:rPr>
          <w:rFonts w:cs="Arial" w:ascii="Arial" w:hAnsi="Arial"/>
          <w:sz w:val="22"/>
          <w:szCs w:val="22"/>
          <w:lang w:val="en-GB"/>
        </w:rPr>
      </w:r>
    </w:p>
    <w:p>
      <w:pPr>
        <w:pStyle w:val="Normal"/>
        <w:rPr>
          <w:rFonts w:ascii="Arial" w:hAnsi="Arial" w:cs="Arial"/>
          <w:sz w:val="22"/>
          <w:szCs w:val="22"/>
          <w:lang w:val="en-GB"/>
        </w:rPr>
      </w:pPr>
      <w:r>
        <w:rPr>
          <w:rFonts w:cs="Arial" w:ascii="Arial" w:hAnsi="Arial"/>
          <w:sz w:val="22"/>
          <w:szCs w:val="22"/>
          <w:lang w:val="en-GB"/>
        </w:rPr>
      </w:r>
    </w:p>
    <w:p>
      <w:pPr>
        <w:pStyle w:val="Normal"/>
        <w:rPr>
          <w:rFonts w:ascii="Arial" w:hAnsi="Arial" w:cs="Arial"/>
          <w:sz w:val="22"/>
          <w:szCs w:val="22"/>
          <w:lang w:val="en-GB"/>
        </w:rPr>
      </w:pPr>
      <w:r>
        <w:rPr>
          <w:rFonts w:cs="Arial" w:ascii="Arial" w:hAnsi="Arial"/>
          <w:sz w:val="22"/>
          <w:szCs w:val="22"/>
          <w:lang w:val="en-GB"/>
        </w:rPr>
      </w:r>
      <w:r>
        <w:br w:type="page"/>
      </w:r>
    </w:p>
    <w:p>
      <w:pPr>
        <w:pStyle w:val="Heading2"/>
        <w:rPr>
          <w:rFonts w:ascii="Arial" w:hAnsi="Arial"/>
          <w:lang w:val="en-GB"/>
        </w:rPr>
      </w:pPr>
      <w:bookmarkStart w:id="782" w:name="_Toc50275644"/>
      <w:bookmarkStart w:id="783" w:name="_Toc421454326"/>
      <w:r>
        <w:rPr>
          <w:rFonts w:ascii="Arial" w:hAnsi="Arial"/>
          <w:lang w:val="en-GB"/>
        </w:rPr>
        <w:t>Tender Submission Letter (Form PG3 – 1)</w:t>
      </w:r>
      <w:bookmarkEnd w:id="782"/>
      <w:bookmarkEnd w:id="783"/>
    </w:p>
    <w:p>
      <w:pPr>
        <w:pStyle w:val="Normal"/>
        <w:jc w:val="center"/>
        <w:rPr>
          <w:rFonts w:ascii="Arial" w:hAnsi="Arial" w:cs="Arial"/>
          <w:i/>
          <w:i/>
          <w:iCs/>
          <w:sz w:val="22"/>
          <w:szCs w:val="22"/>
        </w:rPr>
      </w:pPr>
      <w:r>
        <w:rPr>
          <w:rFonts w:cs="Arial" w:ascii="Arial" w:hAnsi="Arial"/>
          <w:i/>
          <w:iCs/>
          <w:sz w:val="22"/>
          <w:szCs w:val="22"/>
        </w:rPr>
        <w:t xml:space="preserve"> </w:t>
      </w:r>
      <w:r>
        <w:rPr>
          <w:rFonts w:cs="Arial" w:ascii="Arial" w:hAnsi="Arial"/>
          <w:i/>
          <w:iCs/>
          <w:sz w:val="22"/>
          <w:szCs w:val="22"/>
        </w:rPr>
        <w:t xml:space="preserve">[Thisletter shall be completed and signed by the </w:t>
      </w:r>
      <w:r>
        <w:rPr>
          <w:rFonts w:cs="Arial" w:ascii="Arial" w:hAnsi="Arial"/>
          <w:i/>
          <w:iCs/>
          <w:sz w:val="22"/>
          <w:szCs w:val="22"/>
          <w:u w:val="single"/>
        </w:rPr>
        <w:t>Authorised Signatory</w:t>
      </w:r>
    </w:p>
    <w:p>
      <w:pPr>
        <w:pStyle w:val="Normal"/>
        <w:jc w:val="center"/>
        <w:rPr>
          <w:rFonts w:ascii="Arial" w:hAnsi="Arial" w:cs="Arial"/>
          <w:i/>
          <w:i/>
          <w:iCs/>
          <w:sz w:val="22"/>
          <w:szCs w:val="22"/>
        </w:rPr>
      </w:pPr>
      <w:r>
        <w:rPr>
          <w:rFonts w:cs="Arial" w:ascii="Arial" w:hAnsi="Arial"/>
          <w:i/>
          <w:iCs/>
          <w:sz w:val="22"/>
          <w:szCs w:val="22"/>
        </w:rPr>
        <w:t>preferably on the Letter-Head pad of the Tenderer].</w:t>
      </w:r>
    </w:p>
    <w:p>
      <w:pPr>
        <w:pStyle w:val="Normal"/>
        <w:rPr>
          <w:rFonts w:ascii="Arial" w:hAnsi="Arial" w:cs="Arial"/>
          <w:sz w:val="22"/>
          <w:szCs w:val="22"/>
        </w:rPr>
      </w:pPr>
      <w:r>
        <w:rPr>
          <w:rFonts w:cs="Arial" w:ascii="Arial" w:hAnsi="Arial"/>
          <w:sz w:val="22"/>
          <w:szCs w:val="22"/>
        </w:rPr>
      </w:r>
    </w:p>
    <w:tbl>
      <w:tblPr>
        <w:tblW w:w="9000"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6000"/>
        <w:gridCol w:w="2999"/>
      </w:tblGrid>
      <w:tr>
        <w:trPr/>
        <w:tc>
          <w:tcPr>
            <w:tcW w:w="60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120"/>
              <w:rPr>
                <w:rFonts w:ascii="Arial" w:hAnsi="Arial" w:cs="Arial"/>
                <w:sz w:val="22"/>
                <w:szCs w:val="22"/>
                <w:lang w:eastAsia="en-US"/>
              </w:rPr>
            </w:pPr>
            <w:r>
              <w:rPr>
                <w:rFonts w:cs="Arial" w:ascii="Arial" w:hAnsi="Arial"/>
                <w:sz w:val="22"/>
                <w:szCs w:val="22"/>
                <w:lang w:eastAsia="en-US"/>
              </w:rPr>
              <w:t>To:</w:t>
            </w:r>
          </w:p>
          <w:p>
            <w:pPr>
              <w:pStyle w:val="Normal"/>
              <w:widowControl w:val="false"/>
              <w:spacing w:before="120" w:after="120"/>
              <w:rPr>
                <w:rFonts w:ascii="Arial" w:hAnsi="Arial" w:cs="Arial"/>
                <w:i/>
                <w:i/>
                <w:iCs/>
                <w:sz w:val="22"/>
                <w:szCs w:val="22"/>
                <w:lang w:eastAsia="en-US"/>
              </w:rPr>
            </w:pPr>
            <w:r>
              <w:rPr>
                <w:rFonts w:cs="Arial" w:ascii="Arial" w:hAnsi="Arial"/>
                <w:i/>
                <w:iCs/>
                <w:sz w:val="22"/>
                <w:szCs w:val="22"/>
                <w:lang w:eastAsia="en-US"/>
              </w:rPr>
              <w:t>[Contact Person]</w:t>
            </w:r>
          </w:p>
          <w:p>
            <w:pPr>
              <w:pStyle w:val="Normal"/>
              <w:widowControl w:val="false"/>
              <w:spacing w:before="120" w:after="120"/>
              <w:rPr>
                <w:rFonts w:ascii="Arial" w:hAnsi="Arial" w:cs="Arial"/>
                <w:i/>
                <w:i/>
                <w:iCs/>
                <w:sz w:val="22"/>
                <w:szCs w:val="22"/>
                <w:lang w:eastAsia="en-US"/>
              </w:rPr>
            </w:pPr>
            <w:r>
              <w:rPr>
                <w:rFonts w:cs="Arial" w:ascii="Arial" w:hAnsi="Arial"/>
                <w:i/>
                <w:iCs/>
                <w:sz w:val="22"/>
                <w:szCs w:val="22"/>
                <w:lang w:eastAsia="en-US"/>
              </w:rPr>
              <w:t>[Name of Procuring Entity]</w:t>
            </w:r>
          </w:p>
          <w:p>
            <w:pPr>
              <w:pStyle w:val="Normal"/>
              <w:widowControl w:val="false"/>
              <w:spacing w:before="120" w:after="120"/>
              <w:rPr>
                <w:rFonts w:ascii="Arial" w:hAnsi="Arial" w:cs="Arial"/>
                <w:sz w:val="21"/>
                <w:szCs w:val="21"/>
                <w:lang w:eastAsia="en-US"/>
              </w:rPr>
            </w:pPr>
            <w:r>
              <w:rPr>
                <w:rFonts w:cs="Arial" w:ascii="Arial" w:hAnsi="Arial"/>
                <w:i/>
                <w:iCs/>
                <w:sz w:val="22"/>
                <w:szCs w:val="22"/>
                <w:lang w:eastAsia="en-US"/>
              </w:rPr>
              <w:t>[Address of Procuring Entity]</w:t>
            </w:r>
          </w:p>
        </w:tc>
        <w:tc>
          <w:tcPr>
            <w:tcW w:w="299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120"/>
              <w:rPr>
                <w:rFonts w:ascii="Arial" w:hAnsi="Arial" w:cs="Arial"/>
                <w:sz w:val="22"/>
                <w:szCs w:val="22"/>
                <w:lang w:eastAsia="en-US"/>
              </w:rPr>
            </w:pPr>
            <w:r>
              <w:rPr>
                <w:rFonts w:cs="Arial" w:ascii="Arial" w:hAnsi="Arial"/>
                <w:sz w:val="22"/>
                <w:szCs w:val="22"/>
                <w:lang w:eastAsia="en-US"/>
              </w:rPr>
              <w:t>Date:</w:t>
            </w:r>
          </w:p>
        </w:tc>
      </w:tr>
      <w:tr>
        <w:trPr/>
        <w:tc>
          <w:tcPr>
            <w:tcW w:w="60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120"/>
              <w:rPr>
                <w:rFonts w:ascii="Arial" w:hAnsi="Arial" w:cs="Arial"/>
                <w:sz w:val="22"/>
                <w:szCs w:val="22"/>
                <w:lang w:eastAsia="en-US"/>
              </w:rPr>
            </w:pPr>
            <w:r>
              <w:rPr>
                <w:rFonts w:cs="Arial" w:ascii="Arial" w:hAnsi="Arial"/>
                <w:sz w:val="22"/>
                <w:szCs w:val="22"/>
                <w:lang w:eastAsia="en-US"/>
              </w:rPr>
              <w:t>Invitation for Tender No:</w:t>
            </w:r>
          </w:p>
        </w:tc>
        <w:tc>
          <w:tcPr>
            <w:tcW w:w="299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120"/>
              <w:rPr>
                <w:rFonts w:ascii="Arial" w:hAnsi="Arial" w:cs="Arial"/>
                <w:i/>
                <w:i/>
                <w:iCs/>
                <w:sz w:val="22"/>
                <w:szCs w:val="22"/>
                <w:lang w:eastAsia="en-US"/>
              </w:rPr>
            </w:pPr>
            <w:r>
              <w:rPr>
                <w:rFonts w:cs="Arial" w:ascii="Arial" w:hAnsi="Arial"/>
                <w:i/>
                <w:iCs/>
                <w:sz w:val="22"/>
                <w:szCs w:val="22"/>
                <w:lang w:eastAsia="en-US"/>
              </w:rPr>
              <w:t>IFT No_______________</w:t>
            </w:r>
          </w:p>
        </w:tc>
      </w:tr>
      <w:tr>
        <w:trPr/>
        <w:tc>
          <w:tcPr>
            <w:tcW w:w="60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120"/>
              <w:rPr>
                <w:rFonts w:ascii="Arial" w:hAnsi="Arial" w:cs="Arial"/>
                <w:sz w:val="22"/>
                <w:szCs w:val="22"/>
                <w:lang w:eastAsia="en-US"/>
              </w:rPr>
            </w:pPr>
            <w:r>
              <w:rPr>
                <w:rFonts w:cs="Arial" w:ascii="Arial" w:hAnsi="Arial"/>
                <w:sz w:val="22"/>
                <w:szCs w:val="22"/>
                <w:lang w:eastAsia="en-US"/>
              </w:rPr>
              <w:t>Tender Package No:</w:t>
            </w:r>
          </w:p>
        </w:tc>
        <w:tc>
          <w:tcPr>
            <w:tcW w:w="299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120"/>
              <w:rPr>
                <w:rFonts w:ascii="Arial" w:hAnsi="Arial" w:cs="Arial"/>
                <w:i/>
                <w:i/>
                <w:iCs/>
                <w:sz w:val="22"/>
                <w:szCs w:val="22"/>
                <w:lang w:eastAsia="en-US"/>
              </w:rPr>
            </w:pPr>
            <w:r>
              <w:rPr>
                <w:rFonts w:cs="Arial" w:ascii="Arial" w:hAnsi="Arial"/>
                <w:i/>
                <w:iCs/>
                <w:sz w:val="22"/>
                <w:szCs w:val="22"/>
                <w:lang w:eastAsia="en-US"/>
              </w:rPr>
              <w:t>Package No___________</w:t>
            </w:r>
          </w:p>
        </w:tc>
      </w:tr>
      <w:tr>
        <w:trPr/>
        <w:tc>
          <w:tcPr>
            <w:tcW w:w="60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120"/>
              <w:rPr>
                <w:rFonts w:ascii="Arial" w:hAnsi="Arial" w:cs="Arial"/>
                <w:sz w:val="22"/>
                <w:szCs w:val="22"/>
                <w:lang w:eastAsia="en-US"/>
              </w:rPr>
            </w:pPr>
            <w:r>
              <w:rPr>
                <w:rFonts w:cs="Arial" w:ascii="Arial" w:hAnsi="Arial"/>
                <w:sz w:val="22"/>
                <w:szCs w:val="22"/>
                <w:lang w:eastAsia="en-US"/>
              </w:rPr>
              <w:t>Lot No</w:t>
            </w:r>
            <w:r>
              <w:rPr>
                <w:rFonts w:cs="Arial" w:ascii="Arial" w:hAnsi="Arial"/>
                <w:sz w:val="18"/>
                <w:szCs w:val="18"/>
                <w:lang w:eastAsia="en-US"/>
              </w:rPr>
              <w:t>(</w:t>
            </w:r>
            <w:r>
              <w:rPr>
                <w:rFonts w:cs="Arial" w:ascii="Arial" w:hAnsi="Arial"/>
                <w:i/>
                <w:sz w:val="18"/>
                <w:szCs w:val="18"/>
                <w:lang w:eastAsia="en-US"/>
              </w:rPr>
              <w:t>when applicable</w:t>
            </w:r>
            <w:r>
              <w:rPr>
                <w:rFonts w:cs="Arial" w:ascii="Arial" w:hAnsi="Arial"/>
                <w:sz w:val="18"/>
                <w:szCs w:val="18"/>
                <w:lang w:eastAsia="en-US"/>
              </w:rPr>
              <w:t>)</w:t>
            </w:r>
          </w:p>
        </w:tc>
        <w:tc>
          <w:tcPr>
            <w:tcW w:w="299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120"/>
              <w:rPr>
                <w:rFonts w:ascii="Arial" w:hAnsi="Arial" w:cs="Arial"/>
                <w:i/>
                <w:i/>
                <w:iCs/>
                <w:sz w:val="22"/>
                <w:szCs w:val="22"/>
                <w:lang w:eastAsia="en-US"/>
              </w:rPr>
            </w:pPr>
            <w:r>
              <w:rPr>
                <w:rFonts w:cs="Arial" w:ascii="Arial" w:hAnsi="Arial"/>
                <w:i/>
                <w:iCs/>
                <w:sz w:val="22"/>
                <w:szCs w:val="22"/>
                <w:lang w:eastAsia="en-US"/>
              </w:rPr>
              <w:t>Lot No________________</w:t>
            </w:r>
          </w:p>
        </w:tc>
      </w:tr>
    </w:tbl>
    <w:p>
      <w:pPr>
        <w:pStyle w:val="Normal"/>
        <w:rPr>
          <w:rFonts w:ascii="Arial" w:hAnsi="Arial" w:cs="Arial"/>
          <w:sz w:val="21"/>
        </w:rPr>
      </w:pPr>
      <w:r>
        <w:rPr>
          <w:rFonts w:cs="Arial" w:ascii="Arial" w:hAnsi="Arial"/>
          <w:sz w:val="21"/>
        </w:rPr>
      </w:r>
    </w:p>
    <w:p>
      <w:pPr>
        <w:pStyle w:val="Normal"/>
        <w:rPr>
          <w:rFonts w:ascii="Arial" w:hAnsi="Arial" w:cs="Arial"/>
          <w:sz w:val="21"/>
        </w:rPr>
      </w:pPr>
      <w:r>
        <w:rPr>
          <w:rFonts w:cs="Arial" w:ascii="Arial" w:hAnsi="Arial"/>
          <w:sz w:val="21"/>
        </w:rPr>
        <w:tab/>
      </w:r>
      <w:r>
        <w:rPr>
          <w:rFonts w:cs="Arial" w:ascii="Arial" w:hAnsi="Arial"/>
          <w:sz w:val="22"/>
          <w:szCs w:val="22"/>
        </w:rPr>
        <w:t>We, the undersigned, tender to supply in conformity with the Tender Document the following Goods and related services, viz:</w:t>
      </w:r>
    </w:p>
    <w:tbl>
      <w:tblPr>
        <w:tblW w:w="9020"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9020"/>
      </w:tblGrid>
      <w:tr>
        <w:trPr/>
        <w:tc>
          <w:tcPr>
            <w:tcW w:w="90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Arial" w:hAnsi="Arial" w:cs="Arial"/>
                <w:sz w:val="21"/>
                <w:lang w:eastAsia="en-US"/>
              </w:rPr>
            </w:pPr>
            <w:r>
              <w:rPr>
                <w:rFonts w:cs="Arial" w:ascii="Arial" w:hAnsi="Arial"/>
                <w:sz w:val="21"/>
                <w:lang w:eastAsia="en-US"/>
              </w:rPr>
            </w:r>
          </w:p>
          <w:p>
            <w:pPr>
              <w:pStyle w:val="Normal"/>
              <w:widowControl w:val="false"/>
              <w:rPr>
                <w:rFonts w:ascii="Arial" w:hAnsi="Arial" w:cs="Arial"/>
                <w:sz w:val="21"/>
                <w:lang w:eastAsia="en-US"/>
              </w:rPr>
            </w:pPr>
            <w:r>
              <w:rPr>
                <w:rFonts w:cs="Arial" w:ascii="Arial" w:hAnsi="Arial"/>
                <w:sz w:val="21"/>
                <w:lang w:eastAsia="en-US"/>
              </w:rPr>
            </w:r>
          </w:p>
        </w:tc>
      </w:tr>
    </w:tbl>
    <w:p>
      <w:pPr>
        <w:pStyle w:val="Normal"/>
        <w:rPr>
          <w:rFonts w:ascii="Arial" w:hAnsi="Arial" w:cs="Arial"/>
          <w:sz w:val="21"/>
        </w:rPr>
      </w:pPr>
      <w:r>
        <w:rPr>
          <w:rFonts w:cs="Arial" w:ascii="Arial" w:hAnsi="Arial"/>
          <w:sz w:val="21"/>
        </w:rPr>
      </w:r>
    </w:p>
    <w:p>
      <w:pPr>
        <w:pStyle w:val="Normal"/>
        <w:ind w:firstLine="720"/>
        <w:rPr>
          <w:rFonts w:ascii="Arial" w:hAnsi="Arial" w:cs="Arial"/>
          <w:sz w:val="22"/>
          <w:szCs w:val="22"/>
        </w:rPr>
      </w:pPr>
      <w:r>
        <w:rPr>
          <w:rFonts w:cs="Arial" w:ascii="Arial" w:hAnsi="Arial"/>
          <w:sz w:val="22"/>
          <w:szCs w:val="22"/>
        </w:rPr>
        <w:t>In accordance with ITT Clauses 24 and 25, the following price applies to our Tender:</w:t>
      </w:r>
    </w:p>
    <w:p>
      <w:pPr>
        <w:pStyle w:val="Normal"/>
        <w:rPr>
          <w:rFonts w:ascii="Arial" w:hAnsi="Arial" w:cs="Arial"/>
          <w:sz w:val="21"/>
        </w:rPr>
      </w:pPr>
      <w:r>
        <w:rPr>
          <w:rFonts w:cs="Arial" w:ascii="Arial" w:hAnsi="Arial"/>
          <w:sz w:val="21"/>
        </w:rPr>
      </w:r>
    </w:p>
    <w:tbl>
      <w:tblPr>
        <w:tblW w:w="13490"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5220"/>
        <w:gridCol w:w="3780"/>
        <w:gridCol w:w="4490"/>
      </w:tblGrid>
      <w:tr>
        <w:trPr>
          <w:trHeight w:val="248" w:hRule="atLeast"/>
        </w:trPr>
        <w:tc>
          <w:tcPr>
            <w:tcW w:w="5220" w:type="dxa"/>
            <w:tcBorders/>
            <w:shd w:color="auto" w:fill="auto" w:val="clear"/>
          </w:tcPr>
          <w:p>
            <w:pPr>
              <w:pStyle w:val="Normal"/>
              <w:widowControl w:val="false"/>
              <w:spacing w:before="60" w:after="60"/>
              <w:rPr>
                <w:rFonts w:ascii="Arial" w:hAnsi="Arial" w:cs="Arial"/>
                <w:sz w:val="22"/>
                <w:szCs w:val="22"/>
                <w:lang w:eastAsia="en-US"/>
              </w:rPr>
            </w:pPr>
            <w:r>
              <w:rPr>
                <w:rFonts w:cs="Arial" w:ascii="Arial" w:hAnsi="Arial"/>
                <w:sz w:val="22"/>
                <w:szCs w:val="22"/>
                <w:lang w:eastAsia="en-US"/>
              </w:rPr>
              <w:t>The Tender Price is:</w:t>
            </w:r>
          </w:p>
          <w:p>
            <w:pPr>
              <w:pStyle w:val="Normal"/>
              <w:widowControl w:val="false"/>
              <w:spacing w:before="60" w:after="60"/>
              <w:rPr>
                <w:rFonts w:ascii="Arial" w:hAnsi="Arial" w:cs="Arial"/>
                <w:sz w:val="22"/>
                <w:szCs w:val="22"/>
                <w:lang w:eastAsia="en-US"/>
              </w:rPr>
            </w:pPr>
            <w:r>
              <w:rPr>
                <w:rFonts w:cs="Arial" w:ascii="Arial" w:hAnsi="Arial"/>
                <w:sz w:val="22"/>
                <w:szCs w:val="22"/>
                <w:lang w:eastAsia="en-US"/>
              </w:rPr>
              <w:t>(ITT SubClause 24.10 and 25.1)</w:t>
            </w:r>
          </w:p>
        </w:tc>
        <w:tc>
          <w:tcPr>
            <w:tcW w:w="3780" w:type="dxa"/>
            <w:tcBorders/>
            <w:shd w:color="auto" w:fill="auto" w:val="clear"/>
          </w:tcPr>
          <w:p>
            <w:pPr>
              <w:pStyle w:val="Normal"/>
              <w:widowControl w:val="false"/>
              <w:spacing w:before="60" w:after="60"/>
              <w:rPr>
                <w:rFonts w:ascii="Arial" w:hAnsi="Arial" w:cs="Arial"/>
                <w:i/>
                <w:i/>
                <w:iCs/>
                <w:sz w:val="22"/>
                <w:szCs w:val="22"/>
                <w:lang w:eastAsia="en-US"/>
              </w:rPr>
            </w:pPr>
            <w:r>
              <w:rPr>
                <w:rFonts w:cs="Arial" w:ascii="Arial" w:hAnsi="Arial"/>
                <w:i/>
                <w:iCs/>
                <w:sz w:val="22"/>
                <w:szCs w:val="22"/>
                <w:lang w:eastAsia="en-US"/>
              </w:rPr>
              <w:t>Tk.__________________________</w:t>
            </w:r>
          </w:p>
          <w:p>
            <w:pPr>
              <w:pStyle w:val="Normal"/>
              <w:widowControl w:val="false"/>
              <w:spacing w:before="60" w:after="60"/>
              <w:rPr>
                <w:rFonts w:ascii="Arial" w:hAnsi="Arial" w:cs="Arial"/>
                <w:i/>
                <w:i/>
                <w:iCs/>
                <w:sz w:val="18"/>
                <w:szCs w:val="18"/>
                <w:lang w:eastAsia="en-US"/>
              </w:rPr>
            </w:pPr>
            <w:r>
              <w:rPr>
                <w:rFonts w:cs="Arial" w:ascii="Arial" w:hAnsi="Arial"/>
                <w:i/>
                <w:iCs/>
                <w:sz w:val="18"/>
                <w:szCs w:val="18"/>
                <w:lang w:eastAsia="en-US"/>
              </w:rPr>
              <w:t>[in figures]</w:t>
            </w:r>
          </w:p>
          <w:p>
            <w:pPr>
              <w:pStyle w:val="Normal"/>
              <w:widowControl w:val="false"/>
              <w:spacing w:before="60" w:after="60"/>
              <w:rPr>
                <w:rFonts w:ascii="Arial" w:hAnsi="Arial" w:cs="Arial"/>
                <w:i/>
                <w:i/>
                <w:iCs/>
                <w:sz w:val="22"/>
                <w:szCs w:val="22"/>
                <w:lang w:eastAsia="en-US"/>
              </w:rPr>
            </w:pPr>
            <w:r>
              <w:rPr>
                <w:rFonts w:cs="Arial" w:ascii="Arial" w:hAnsi="Arial"/>
                <w:i/>
                <w:iCs/>
                <w:sz w:val="22"/>
                <w:szCs w:val="22"/>
                <w:lang w:eastAsia="en-US"/>
              </w:rPr>
              <w:t>Taka________________________</w:t>
            </w:r>
          </w:p>
          <w:p>
            <w:pPr>
              <w:pStyle w:val="Normal"/>
              <w:widowControl w:val="false"/>
              <w:spacing w:before="60" w:after="60"/>
              <w:rPr>
                <w:rFonts w:ascii="Arial" w:hAnsi="Arial" w:cs="Arial"/>
                <w:i/>
                <w:i/>
                <w:iCs/>
                <w:sz w:val="18"/>
                <w:szCs w:val="18"/>
                <w:lang w:eastAsia="en-US"/>
              </w:rPr>
            </w:pPr>
            <w:r>
              <w:rPr>
                <w:rFonts w:cs="Arial" w:ascii="Arial" w:hAnsi="Arial"/>
                <w:i/>
                <w:iCs/>
                <w:sz w:val="18"/>
                <w:szCs w:val="18"/>
                <w:lang w:eastAsia="en-US"/>
              </w:rPr>
              <w:t>[in words]</w:t>
            </w:r>
          </w:p>
        </w:tc>
        <w:tc>
          <w:tcPr>
            <w:tcW w:w="4490" w:type="dxa"/>
            <w:tcBorders/>
          </w:tcPr>
          <w:p>
            <w:pPr>
              <w:pStyle w:val="Normal"/>
              <w:widowControl w:val="false"/>
              <w:rPr>
                <w:rFonts w:ascii="Arial" w:hAnsi="Arial" w:cs="Arial"/>
                <w:i/>
                <w:i/>
                <w:iCs/>
                <w:lang w:val="en-GB"/>
              </w:rPr>
            </w:pPr>
            <w:r>
              <w:rPr>
                <w:rFonts w:cs="Arial" w:ascii="Arial" w:hAnsi="Arial"/>
                <w:i/>
                <w:iCs/>
                <w:lang w:val="en-GB"/>
              </w:rPr>
            </w:r>
          </w:p>
        </w:tc>
      </w:tr>
      <w:tr>
        <w:trPr>
          <w:trHeight w:val="248" w:hRule="atLeast"/>
        </w:trPr>
        <w:tc>
          <w:tcPr>
            <w:tcW w:w="5220" w:type="dxa"/>
            <w:tcBorders/>
            <w:shd w:color="auto" w:fill="auto" w:val="clear"/>
          </w:tcPr>
          <w:p>
            <w:pPr>
              <w:pStyle w:val="Normal"/>
              <w:widowControl w:val="false"/>
              <w:spacing w:before="60" w:after="60"/>
              <w:rPr>
                <w:rFonts w:ascii="Arial" w:hAnsi="Arial" w:cs="Arial"/>
                <w:sz w:val="22"/>
                <w:szCs w:val="22"/>
                <w:lang w:eastAsia="en-US"/>
              </w:rPr>
            </w:pPr>
            <w:r>
              <w:rPr>
                <w:rFonts w:cs="Arial" w:ascii="Arial" w:hAnsi="Arial"/>
                <w:sz w:val="22"/>
                <w:szCs w:val="22"/>
                <w:lang w:eastAsia="en-US"/>
              </w:rPr>
              <w:t>The advance payment (</w:t>
            </w:r>
            <w:r>
              <w:rPr>
                <w:rFonts w:cs="Arial" w:ascii="Arial" w:hAnsi="Arial"/>
                <w:sz w:val="18"/>
                <w:szCs w:val="18"/>
                <w:lang w:eastAsia="en-US"/>
              </w:rPr>
              <w:t>when applicable</w:t>
            </w:r>
            <w:r>
              <w:rPr>
                <w:rFonts w:cs="Arial" w:ascii="Arial" w:hAnsi="Arial"/>
                <w:sz w:val="22"/>
                <w:szCs w:val="22"/>
                <w:lang w:eastAsia="en-US"/>
              </w:rPr>
              <w:t>) is:</w:t>
            </w:r>
          </w:p>
          <w:p>
            <w:pPr>
              <w:pStyle w:val="Normal"/>
              <w:widowControl w:val="false"/>
              <w:spacing w:before="60" w:after="60"/>
              <w:rPr>
                <w:rFonts w:ascii="Arial" w:hAnsi="Arial" w:cs="Arial"/>
                <w:sz w:val="18"/>
                <w:szCs w:val="18"/>
                <w:lang w:eastAsia="en-US"/>
              </w:rPr>
            </w:pPr>
            <w:r>
              <w:rPr>
                <w:rFonts w:cs="Arial" w:ascii="Arial" w:hAnsi="Arial"/>
                <w:i/>
                <w:iCs/>
                <w:sz w:val="18"/>
                <w:szCs w:val="18"/>
                <w:lang w:eastAsia="en-US"/>
              </w:rPr>
              <w:t>[insert the amount based on percentage of the Tender Price]</w:t>
            </w:r>
          </w:p>
          <w:p>
            <w:pPr>
              <w:pStyle w:val="Normal"/>
              <w:widowControl w:val="false"/>
              <w:spacing w:before="60" w:after="60"/>
              <w:rPr>
                <w:rFonts w:ascii="Arial" w:hAnsi="Arial" w:cs="Arial"/>
                <w:sz w:val="22"/>
                <w:szCs w:val="22"/>
                <w:lang w:eastAsia="en-US"/>
              </w:rPr>
            </w:pPr>
            <w:r>
              <w:rPr>
                <w:rFonts w:cs="Arial" w:ascii="Arial" w:hAnsi="Arial"/>
                <w:sz w:val="22"/>
                <w:szCs w:val="22"/>
                <w:lang w:eastAsia="en-US"/>
              </w:rPr>
              <w:t>(GCC SubClause 25.1)</w:t>
            </w:r>
          </w:p>
        </w:tc>
        <w:tc>
          <w:tcPr>
            <w:tcW w:w="3780" w:type="dxa"/>
            <w:tcBorders/>
            <w:shd w:color="auto" w:fill="auto" w:val="clear"/>
          </w:tcPr>
          <w:p>
            <w:pPr>
              <w:pStyle w:val="Normal"/>
              <w:widowControl w:val="false"/>
              <w:spacing w:before="60" w:after="60"/>
              <w:rPr>
                <w:rFonts w:ascii="Arial" w:hAnsi="Arial" w:cs="Arial"/>
                <w:i/>
                <w:i/>
                <w:iCs/>
                <w:sz w:val="22"/>
                <w:szCs w:val="22"/>
                <w:lang w:eastAsia="en-US"/>
              </w:rPr>
            </w:pPr>
            <w:r>
              <w:rPr>
                <w:rFonts w:cs="Arial" w:ascii="Arial" w:hAnsi="Arial"/>
                <w:i/>
                <w:iCs/>
                <w:sz w:val="22"/>
                <w:szCs w:val="22"/>
                <w:lang w:eastAsia="en-US"/>
              </w:rPr>
              <w:t>Tk.__________________________</w:t>
            </w:r>
          </w:p>
          <w:p>
            <w:pPr>
              <w:pStyle w:val="Normal"/>
              <w:widowControl w:val="false"/>
              <w:spacing w:before="60" w:after="60"/>
              <w:rPr>
                <w:rFonts w:ascii="Arial" w:hAnsi="Arial" w:cs="Arial"/>
                <w:i/>
                <w:i/>
                <w:iCs/>
                <w:sz w:val="18"/>
                <w:szCs w:val="18"/>
                <w:lang w:eastAsia="en-US"/>
              </w:rPr>
            </w:pPr>
            <w:r>
              <w:rPr>
                <w:rFonts w:cs="Arial" w:ascii="Arial" w:hAnsi="Arial"/>
                <w:i/>
                <w:iCs/>
                <w:sz w:val="18"/>
                <w:szCs w:val="18"/>
                <w:lang w:eastAsia="en-US"/>
              </w:rPr>
              <w:t>[in figures]</w:t>
            </w:r>
          </w:p>
          <w:p>
            <w:pPr>
              <w:pStyle w:val="Normal"/>
              <w:widowControl w:val="false"/>
              <w:spacing w:before="60" w:after="60"/>
              <w:rPr>
                <w:rFonts w:ascii="Arial" w:hAnsi="Arial" w:cs="Arial"/>
                <w:i/>
                <w:i/>
                <w:iCs/>
                <w:sz w:val="22"/>
                <w:szCs w:val="22"/>
                <w:lang w:eastAsia="en-US"/>
              </w:rPr>
            </w:pPr>
            <w:r>
              <w:rPr>
                <w:rFonts w:cs="Arial" w:ascii="Arial" w:hAnsi="Arial"/>
                <w:i/>
                <w:iCs/>
                <w:sz w:val="22"/>
                <w:szCs w:val="22"/>
                <w:lang w:eastAsia="en-US"/>
              </w:rPr>
              <w:t xml:space="preserve"> </w:t>
            </w:r>
            <w:r>
              <w:rPr>
                <w:rFonts w:cs="Arial" w:ascii="Arial" w:hAnsi="Arial"/>
                <w:i/>
                <w:iCs/>
                <w:sz w:val="22"/>
                <w:szCs w:val="22"/>
                <w:lang w:eastAsia="en-US"/>
              </w:rPr>
              <w:t>Taka________________________</w:t>
            </w:r>
          </w:p>
          <w:p>
            <w:pPr>
              <w:pStyle w:val="Normal"/>
              <w:widowControl w:val="false"/>
              <w:spacing w:before="60" w:after="60"/>
              <w:rPr>
                <w:rFonts w:ascii="Arial" w:hAnsi="Arial" w:cs="Arial"/>
                <w:i/>
                <w:i/>
                <w:iCs/>
                <w:sz w:val="18"/>
                <w:szCs w:val="18"/>
                <w:lang w:eastAsia="en-US"/>
              </w:rPr>
            </w:pPr>
            <w:r>
              <w:rPr>
                <w:rFonts w:cs="Arial" w:ascii="Arial" w:hAnsi="Arial"/>
                <w:i/>
                <w:iCs/>
                <w:sz w:val="18"/>
                <w:szCs w:val="18"/>
                <w:lang w:eastAsia="en-US"/>
              </w:rPr>
              <w:t xml:space="preserve"> </w:t>
            </w:r>
            <w:r>
              <w:rPr>
                <w:rFonts w:cs="Arial" w:ascii="Arial" w:hAnsi="Arial"/>
                <w:i/>
                <w:iCs/>
                <w:sz w:val="18"/>
                <w:szCs w:val="18"/>
                <w:lang w:eastAsia="en-US"/>
              </w:rPr>
              <w:t>[in words]</w:t>
            </w:r>
          </w:p>
        </w:tc>
        <w:tc>
          <w:tcPr>
            <w:tcW w:w="4490" w:type="dxa"/>
            <w:tcBorders/>
          </w:tcPr>
          <w:p>
            <w:pPr>
              <w:pStyle w:val="Normal"/>
              <w:widowControl w:val="false"/>
              <w:rPr>
                <w:rFonts w:ascii="Arial" w:hAnsi="Arial" w:cs="Arial"/>
                <w:i/>
                <w:i/>
                <w:iCs/>
                <w:lang w:val="en-GB"/>
              </w:rPr>
            </w:pPr>
            <w:r>
              <w:rPr>
                <w:rFonts w:cs="Arial" w:ascii="Arial" w:hAnsi="Arial"/>
                <w:i/>
                <w:iCs/>
                <w:lang w:val="en-GB"/>
              </w:rPr>
            </w:r>
          </w:p>
        </w:tc>
      </w:tr>
      <w:tr>
        <w:trPr>
          <w:trHeight w:val="248" w:hRule="atLeast"/>
        </w:trPr>
        <w:tc>
          <w:tcPr>
            <w:tcW w:w="9000" w:type="dxa"/>
            <w:gridSpan w:val="2"/>
            <w:tcBorders/>
            <w:shd w:color="auto" w:fill="auto" w:val="clear"/>
          </w:tcPr>
          <w:p>
            <w:pPr>
              <w:pStyle w:val="Normal"/>
              <w:widowControl w:val="false"/>
              <w:spacing w:before="60" w:after="60"/>
              <w:rPr>
                <w:rFonts w:ascii="Arial" w:hAnsi="Arial" w:cs="Arial"/>
                <w:i/>
                <w:i/>
                <w:iCs/>
                <w:sz w:val="22"/>
                <w:szCs w:val="22"/>
                <w:lang w:eastAsia="en-US"/>
              </w:rPr>
            </w:pPr>
            <w:r>
              <w:rPr>
                <w:rFonts w:cs="Arial" w:ascii="Arial" w:hAnsi="Arial"/>
                <w:sz w:val="22"/>
                <w:szCs w:val="22"/>
                <w:lang w:eastAsia="en-US"/>
              </w:rPr>
              <w:t xml:space="preserve">and we shall accordingly submit an Advance Payment Guarantee in the format shown in Form </w:t>
            </w:r>
            <w:r>
              <w:rPr>
                <w:rFonts w:cs="Arial" w:ascii="Arial" w:hAnsi="Arial"/>
                <w:b/>
                <w:sz w:val="22"/>
                <w:szCs w:val="22"/>
                <w:lang w:eastAsia="en-US"/>
              </w:rPr>
              <w:t>PG3 - 11.</w:t>
            </w:r>
          </w:p>
        </w:tc>
        <w:tc>
          <w:tcPr>
            <w:tcW w:w="4490" w:type="dxa"/>
            <w:tcBorders/>
          </w:tcPr>
          <w:p>
            <w:pPr>
              <w:pStyle w:val="Normal"/>
              <w:widowControl w:val="false"/>
              <w:rPr>
                <w:rFonts w:ascii="Arial" w:hAnsi="Arial" w:cs="Arial"/>
                <w:i/>
                <w:i/>
                <w:iCs/>
                <w:lang w:val="en-GB"/>
              </w:rPr>
            </w:pPr>
            <w:r>
              <w:rPr>
                <w:rFonts w:cs="Arial" w:ascii="Arial" w:hAnsi="Arial"/>
                <w:i/>
                <w:iCs/>
                <w:lang w:val="en-GB"/>
              </w:rPr>
            </w:r>
          </w:p>
        </w:tc>
      </w:tr>
      <w:tr>
        <w:trPr>
          <w:trHeight w:val="248" w:hRule="atLeast"/>
        </w:trPr>
        <w:tc>
          <w:tcPr>
            <w:tcW w:w="9000" w:type="dxa"/>
            <w:gridSpan w:val="2"/>
            <w:tcBorders>
              <w:top w:val="single" w:sz="4" w:space="0" w:color="000000"/>
              <w:left w:val="single" w:sz="4" w:space="0" w:color="000000"/>
              <w:right w:val="single" w:sz="4" w:space="0" w:color="000000"/>
            </w:tcBorders>
            <w:shd w:color="auto" w:fill="F3F3F3" w:val="clear"/>
          </w:tcPr>
          <w:p>
            <w:pPr>
              <w:pStyle w:val="Normal"/>
              <w:widowControl w:val="false"/>
              <w:spacing w:before="60" w:after="60"/>
              <w:rPr>
                <w:rFonts w:ascii="Arial" w:hAnsi="Arial" w:cs="Arial"/>
                <w:i/>
                <w:i/>
                <w:sz w:val="18"/>
                <w:szCs w:val="18"/>
                <w:lang w:val="en-GB"/>
              </w:rPr>
            </w:pPr>
            <w:r>
              <w:rPr>
                <w:rFonts w:cs="Arial" w:ascii="Arial" w:hAnsi="Arial"/>
                <w:sz w:val="21"/>
                <w:lang w:val="en-GB"/>
              </w:rPr>
              <w:t>In accordance with ITT Clause 23, the following discounts apply to our Tender:</w:t>
            </w:r>
          </w:p>
        </w:tc>
        <w:tc>
          <w:tcPr>
            <w:tcW w:w="4490" w:type="dxa"/>
            <w:tcBorders/>
          </w:tcPr>
          <w:p>
            <w:pPr>
              <w:pStyle w:val="Normal"/>
              <w:widowControl w:val="false"/>
              <w:rPr>
                <w:rFonts w:ascii="Arial" w:hAnsi="Arial" w:cs="Arial"/>
                <w:i/>
                <w:i/>
                <w:iCs/>
                <w:lang w:val="en-GB"/>
              </w:rPr>
            </w:pPr>
            <w:r>
              <w:rPr>
                <w:rFonts w:cs="Arial" w:ascii="Arial" w:hAnsi="Arial"/>
                <w:i/>
                <w:iCs/>
                <w:lang w:val="en-GB"/>
              </w:rPr>
            </w:r>
          </w:p>
        </w:tc>
      </w:tr>
      <w:tr>
        <w:trPr>
          <w:trHeight w:val="248" w:hRule="atLeast"/>
        </w:trPr>
        <w:tc>
          <w:tcPr>
            <w:tcW w:w="5220" w:type="dxa"/>
            <w:tcBorders>
              <w:left w:val="single" w:sz="4" w:space="0" w:color="000000"/>
            </w:tcBorders>
            <w:shd w:color="auto" w:fill="F3F3F3" w:val="clear"/>
          </w:tcPr>
          <w:p>
            <w:pPr>
              <w:pStyle w:val="Normal"/>
              <w:widowControl w:val="false"/>
              <w:spacing w:before="60" w:after="60"/>
              <w:rPr>
                <w:rFonts w:ascii="Arial" w:hAnsi="Arial" w:cs="Arial"/>
                <w:sz w:val="22"/>
                <w:szCs w:val="22"/>
                <w:lang w:eastAsia="en-US"/>
              </w:rPr>
            </w:pPr>
            <w:r>
              <w:rPr>
                <w:rFonts w:cs="Arial" w:ascii="Arial" w:hAnsi="Arial"/>
                <w:sz w:val="22"/>
                <w:szCs w:val="22"/>
                <w:lang w:eastAsia="en-US"/>
              </w:rPr>
              <w:t>The unconditional discount for being awarded more than one lot in this package is:</w:t>
            </w:r>
          </w:p>
          <w:p>
            <w:pPr>
              <w:pStyle w:val="Normal"/>
              <w:widowControl w:val="false"/>
              <w:spacing w:before="60" w:after="60"/>
              <w:rPr>
                <w:rFonts w:ascii="Arial" w:hAnsi="Arial" w:cs="Arial"/>
                <w:sz w:val="22"/>
                <w:szCs w:val="22"/>
                <w:lang w:eastAsia="en-US"/>
              </w:rPr>
            </w:pPr>
            <w:r>
              <w:rPr>
                <w:rFonts w:cs="Arial" w:ascii="Arial" w:hAnsi="Arial"/>
                <w:sz w:val="22"/>
                <w:szCs w:val="22"/>
                <w:lang w:eastAsia="en-US"/>
              </w:rPr>
              <w:t>(ITT SubClause 24.11 and 25.1)</w:t>
            </w:r>
          </w:p>
        </w:tc>
        <w:tc>
          <w:tcPr>
            <w:tcW w:w="3780" w:type="dxa"/>
            <w:tcBorders>
              <w:right w:val="single" w:sz="4" w:space="0" w:color="000000"/>
            </w:tcBorders>
            <w:shd w:color="auto" w:fill="F3F3F3" w:val="clear"/>
          </w:tcPr>
          <w:p>
            <w:pPr>
              <w:pStyle w:val="Normal"/>
              <w:widowControl w:val="false"/>
              <w:spacing w:before="60" w:after="60"/>
              <w:rPr>
                <w:rFonts w:ascii="Arial" w:hAnsi="Arial" w:cs="Arial"/>
                <w:i/>
                <w:i/>
                <w:iCs/>
                <w:sz w:val="22"/>
                <w:szCs w:val="22"/>
                <w:lang w:eastAsia="en-US"/>
              </w:rPr>
            </w:pPr>
            <w:r>
              <w:rPr>
                <w:rFonts w:cs="Arial" w:ascii="Arial" w:hAnsi="Arial"/>
                <w:i/>
                <w:iCs/>
                <w:sz w:val="22"/>
                <w:szCs w:val="22"/>
                <w:lang w:eastAsia="en-US"/>
              </w:rPr>
              <w:t>Tk._________________________</w:t>
            </w:r>
          </w:p>
          <w:p>
            <w:pPr>
              <w:pStyle w:val="Normal"/>
              <w:widowControl w:val="false"/>
              <w:spacing w:before="60" w:after="60"/>
              <w:rPr>
                <w:rFonts w:ascii="Arial" w:hAnsi="Arial" w:cs="Arial"/>
                <w:i/>
                <w:i/>
                <w:iCs/>
                <w:sz w:val="18"/>
                <w:szCs w:val="18"/>
                <w:lang w:eastAsia="en-US"/>
              </w:rPr>
            </w:pPr>
            <w:r>
              <w:rPr>
                <w:rFonts w:cs="Arial" w:ascii="Arial" w:hAnsi="Arial"/>
                <w:i/>
                <w:iCs/>
                <w:sz w:val="18"/>
                <w:szCs w:val="18"/>
                <w:lang w:eastAsia="en-US"/>
              </w:rPr>
              <w:t>[in figures]</w:t>
            </w:r>
          </w:p>
          <w:p>
            <w:pPr>
              <w:pStyle w:val="Normal"/>
              <w:widowControl w:val="false"/>
              <w:spacing w:before="60" w:after="60"/>
              <w:rPr>
                <w:rFonts w:ascii="Arial" w:hAnsi="Arial" w:cs="Arial"/>
                <w:i/>
                <w:i/>
                <w:iCs/>
                <w:sz w:val="22"/>
                <w:szCs w:val="22"/>
                <w:lang w:eastAsia="en-US"/>
              </w:rPr>
            </w:pPr>
            <w:r>
              <w:rPr>
                <w:rFonts w:cs="Arial" w:ascii="Arial" w:hAnsi="Arial"/>
                <w:i/>
                <w:iCs/>
                <w:sz w:val="22"/>
                <w:szCs w:val="22"/>
                <w:lang w:eastAsia="en-US"/>
              </w:rPr>
              <w:t>Taka________________________</w:t>
            </w:r>
          </w:p>
          <w:p>
            <w:pPr>
              <w:pStyle w:val="Normal"/>
              <w:widowControl w:val="false"/>
              <w:spacing w:before="60" w:after="60"/>
              <w:rPr>
                <w:rFonts w:ascii="Arial" w:hAnsi="Arial" w:cs="Arial"/>
                <w:i/>
                <w:i/>
                <w:iCs/>
                <w:sz w:val="18"/>
                <w:szCs w:val="18"/>
                <w:lang w:eastAsia="en-US"/>
              </w:rPr>
            </w:pPr>
            <w:r>
              <w:rPr>
                <w:rFonts w:cs="Arial" w:ascii="Arial" w:hAnsi="Arial"/>
                <w:i/>
                <w:iCs/>
                <w:sz w:val="18"/>
                <w:szCs w:val="18"/>
                <w:lang w:eastAsia="en-US"/>
              </w:rPr>
              <w:t>[in words]</w:t>
            </w:r>
          </w:p>
        </w:tc>
        <w:tc>
          <w:tcPr>
            <w:tcW w:w="4490" w:type="dxa"/>
            <w:tcBorders/>
          </w:tcPr>
          <w:p>
            <w:pPr>
              <w:pStyle w:val="Normal"/>
              <w:widowControl w:val="false"/>
              <w:rPr>
                <w:rFonts w:ascii="Arial" w:hAnsi="Arial" w:cs="Arial"/>
                <w:i/>
                <w:i/>
                <w:iCs/>
                <w:lang w:val="en-GB"/>
              </w:rPr>
            </w:pPr>
            <w:r>
              <w:rPr>
                <w:rFonts w:cs="Arial" w:ascii="Arial" w:hAnsi="Arial"/>
                <w:i/>
                <w:iCs/>
                <w:lang w:val="en-GB"/>
              </w:rPr>
            </w:r>
          </w:p>
        </w:tc>
      </w:tr>
      <w:tr>
        <w:trPr>
          <w:trHeight w:val="248" w:hRule="atLeast"/>
        </w:trPr>
        <w:tc>
          <w:tcPr>
            <w:tcW w:w="5220" w:type="dxa"/>
            <w:tcBorders>
              <w:left w:val="single" w:sz="4" w:space="0" w:color="000000"/>
            </w:tcBorders>
            <w:shd w:color="auto" w:fill="F3F3F3" w:val="clear"/>
          </w:tcPr>
          <w:p>
            <w:pPr>
              <w:pStyle w:val="Normal"/>
              <w:widowControl w:val="false"/>
              <w:spacing w:before="60" w:after="60"/>
              <w:rPr>
                <w:rFonts w:ascii="Arial" w:hAnsi="Arial" w:cs="Arial"/>
                <w:sz w:val="22"/>
                <w:szCs w:val="22"/>
                <w:lang w:eastAsia="en-US"/>
              </w:rPr>
            </w:pPr>
            <w:r>
              <w:rPr>
                <w:rFonts w:cs="Arial" w:ascii="Arial" w:hAnsi="Arial"/>
                <w:sz w:val="22"/>
                <w:szCs w:val="22"/>
                <w:lang w:eastAsia="en-US"/>
              </w:rPr>
              <w:t>The methodology for application of the discount is:</w:t>
            </w:r>
          </w:p>
          <w:p>
            <w:pPr>
              <w:pStyle w:val="Normal"/>
              <w:widowControl w:val="false"/>
              <w:spacing w:before="60" w:after="60"/>
              <w:rPr>
                <w:rFonts w:ascii="Arial" w:hAnsi="Arial" w:cs="Arial"/>
                <w:sz w:val="18"/>
                <w:szCs w:val="18"/>
                <w:lang w:eastAsia="en-US"/>
              </w:rPr>
            </w:pPr>
            <w:r>
              <w:rPr>
                <w:rFonts w:cs="Arial" w:ascii="Arial" w:hAnsi="Arial"/>
                <w:i/>
                <w:iCs/>
                <w:sz w:val="18"/>
                <w:szCs w:val="18"/>
                <w:lang w:eastAsia="en-US"/>
              </w:rPr>
              <w:t>[state the methodology]</w:t>
            </w:r>
          </w:p>
          <w:p>
            <w:pPr>
              <w:pStyle w:val="Normal"/>
              <w:widowControl w:val="false"/>
              <w:spacing w:before="60" w:after="60"/>
              <w:rPr>
                <w:rFonts w:ascii="Arial" w:hAnsi="Arial" w:cs="Arial"/>
                <w:sz w:val="22"/>
                <w:szCs w:val="22"/>
                <w:lang w:eastAsia="en-US"/>
              </w:rPr>
            </w:pPr>
            <w:r>
              <w:rPr>
                <w:rFonts w:cs="Arial" w:ascii="Arial" w:hAnsi="Arial"/>
                <w:sz w:val="22"/>
                <w:szCs w:val="22"/>
                <w:lang w:eastAsia="en-US"/>
              </w:rPr>
              <w:t>(ITT SubClause 24.12 and 25.1)</w:t>
            </w:r>
          </w:p>
        </w:tc>
        <w:tc>
          <w:tcPr>
            <w:tcW w:w="3780" w:type="dxa"/>
            <w:tcBorders>
              <w:right w:val="single" w:sz="4" w:space="0" w:color="000000"/>
            </w:tcBorders>
            <w:shd w:color="auto" w:fill="F3F3F3" w:val="clear"/>
          </w:tcPr>
          <w:p>
            <w:pPr>
              <w:pStyle w:val="Normal"/>
              <w:widowControl w:val="false"/>
              <w:spacing w:before="60" w:after="60"/>
              <w:rPr>
                <w:rFonts w:ascii="Arial" w:hAnsi="Arial" w:cs="Arial"/>
                <w:i/>
                <w:i/>
                <w:iCs/>
                <w:sz w:val="22"/>
                <w:szCs w:val="22"/>
                <w:lang w:eastAsia="en-US"/>
              </w:rPr>
            </w:pPr>
            <w:r>
              <w:rPr>
                <w:rFonts w:cs="Arial" w:ascii="Arial" w:hAnsi="Arial"/>
                <w:i/>
                <w:iCs/>
                <w:sz w:val="22"/>
                <w:szCs w:val="22"/>
                <w:lang w:eastAsia="en-US"/>
              </w:rPr>
            </w:r>
          </w:p>
        </w:tc>
        <w:tc>
          <w:tcPr>
            <w:tcW w:w="4490" w:type="dxa"/>
            <w:tcBorders/>
          </w:tcPr>
          <w:p>
            <w:pPr>
              <w:pStyle w:val="Normal"/>
              <w:widowControl w:val="false"/>
              <w:rPr>
                <w:rFonts w:ascii="Arial" w:hAnsi="Arial" w:cs="Arial"/>
                <w:i/>
                <w:i/>
                <w:iCs/>
                <w:lang w:val="en-GB"/>
              </w:rPr>
            </w:pPr>
            <w:r>
              <w:rPr>
                <w:rFonts w:cs="Arial" w:ascii="Arial" w:hAnsi="Arial"/>
                <w:i/>
                <w:iCs/>
                <w:lang w:val="en-GB"/>
              </w:rPr>
            </w:r>
          </w:p>
        </w:tc>
      </w:tr>
      <w:tr>
        <w:trPr>
          <w:trHeight w:val="248" w:hRule="atLeast"/>
        </w:trPr>
        <w:tc>
          <w:tcPr>
            <w:tcW w:w="9000" w:type="dxa"/>
            <w:gridSpan w:val="2"/>
            <w:tcBorders>
              <w:left w:val="single" w:sz="4" w:space="0" w:color="000000"/>
              <w:right w:val="single" w:sz="4" w:space="0" w:color="000000"/>
            </w:tcBorders>
            <w:shd w:color="auto" w:fill="auto" w:val="clear"/>
          </w:tcPr>
          <w:p>
            <w:pPr>
              <w:pStyle w:val="Normal"/>
              <w:widowControl w:val="false"/>
              <w:spacing w:before="60" w:after="60"/>
              <w:jc w:val="center"/>
              <w:rPr>
                <w:rFonts w:ascii="Arial" w:hAnsi="Arial" w:cs="Arial"/>
                <w:i/>
                <w:i/>
                <w:iCs/>
                <w:sz w:val="22"/>
                <w:szCs w:val="22"/>
                <w:lang w:eastAsia="en-US"/>
              </w:rPr>
            </w:pPr>
            <w:r>
              <w:rPr>
                <w:rFonts w:cs="Arial" w:ascii="Arial" w:hAnsi="Arial"/>
                <w:i/>
                <w:sz w:val="18"/>
                <w:szCs w:val="18"/>
                <w:lang w:val="en-GB"/>
              </w:rPr>
              <w:t>Delete</w:t>
            </w:r>
            <w:r>
              <w:rPr>
                <w:rFonts w:cs="Arial" w:ascii="Arial" w:hAnsi="Arial"/>
                <w:b/>
                <w:i/>
                <w:sz w:val="18"/>
                <w:szCs w:val="18"/>
                <w:lang w:val="en-GB"/>
              </w:rPr>
              <w:t>BOX</w:t>
            </w:r>
            <w:r>
              <w:rPr>
                <w:rFonts w:cs="Arial" w:ascii="Arial" w:hAnsi="Arial"/>
                <w:i/>
                <w:sz w:val="18"/>
                <w:szCs w:val="18"/>
                <w:lang w:val="en-GB"/>
              </w:rPr>
              <w:t xml:space="preserve">, if this Tender is being invited for </w:t>
            </w:r>
            <w:r>
              <w:rPr>
                <w:rFonts w:cs="Arial" w:ascii="Arial" w:hAnsi="Arial"/>
                <w:b/>
                <w:i/>
                <w:sz w:val="18"/>
                <w:szCs w:val="18"/>
                <w:lang w:val="en-GB"/>
              </w:rPr>
              <w:t>Single Package or Single Lot</w:t>
            </w:r>
          </w:p>
        </w:tc>
        <w:tc>
          <w:tcPr>
            <w:tcW w:w="4490" w:type="dxa"/>
            <w:tcBorders/>
          </w:tcPr>
          <w:p>
            <w:pPr>
              <w:pStyle w:val="Normal"/>
              <w:widowControl w:val="false"/>
              <w:rPr>
                <w:rFonts w:ascii="Arial" w:hAnsi="Arial" w:cs="Arial"/>
                <w:i/>
                <w:i/>
                <w:iCs/>
                <w:lang w:val="en-GB"/>
              </w:rPr>
            </w:pPr>
            <w:r>
              <w:rPr>
                <w:rFonts w:cs="Arial" w:ascii="Arial" w:hAnsi="Arial"/>
                <w:i/>
                <w:iCs/>
                <w:lang w:val="en-GB"/>
              </w:rPr>
            </w:r>
          </w:p>
        </w:tc>
      </w:tr>
      <w:tr>
        <w:trPr>
          <w:trHeight w:val="1070" w:hRule="atLeast"/>
          <w:cantSplit w:val="true"/>
        </w:trPr>
        <w:tc>
          <w:tcPr>
            <w:tcW w:w="5220" w:type="dxa"/>
            <w:tcBorders>
              <w:top w:val="single" w:sz="4" w:space="0" w:color="000000"/>
            </w:tcBorders>
            <w:shd w:color="auto" w:fill="auto" w:val="clear"/>
          </w:tcPr>
          <w:p>
            <w:pPr>
              <w:pStyle w:val="Normal"/>
              <w:widowControl w:val="false"/>
              <w:spacing w:before="60" w:after="60"/>
              <w:rPr>
                <w:rFonts w:ascii="Arial" w:hAnsi="Arial" w:cs="Arial"/>
                <w:sz w:val="22"/>
                <w:szCs w:val="22"/>
                <w:lang w:eastAsia="en-US"/>
              </w:rPr>
            </w:pPr>
            <w:r>
              <w:rPr>
                <w:rFonts w:cs="Arial" w:ascii="Arial" w:hAnsi="Arial"/>
                <w:sz w:val="22"/>
                <w:szCs w:val="22"/>
                <w:lang w:eastAsia="en-US"/>
              </w:rPr>
            </w:r>
          </w:p>
          <w:p>
            <w:pPr>
              <w:pStyle w:val="Normal"/>
              <w:widowControl w:val="false"/>
              <w:spacing w:before="60" w:after="60"/>
              <w:rPr>
                <w:rFonts w:ascii="Arial" w:hAnsi="Arial" w:cs="Arial"/>
                <w:sz w:val="22"/>
                <w:szCs w:val="22"/>
                <w:lang w:eastAsia="en-US"/>
              </w:rPr>
            </w:pPr>
            <w:r>
              <w:rPr>
                <w:rFonts w:cs="Arial" w:ascii="Arial" w:hAnsi="Arial"/>
                <w:sz w:val="22"/>
                <w:szCs w:val="22"/>
                <w:lang w:eastAsia="en-US"/>
              </w:rPr>
              <w:t>Mandatory Spare parts Price (</w:t>
            </w:r>
            <w:r>
              <w:rPr>
                <w:rFonts w:cs="Arial" w:ascii="Arial" w:hAnsi="Arial"/>
                <w:i/>
                <w:sz w:val="18"/>
                <w:szCs w:val="18"/>
                <w:lang w:eastAsia="en-US"/>
              </w:rPr>
              <w:t>when Economic Factor applicable</w:t>
            </w:r>
            <w:r>
              <w:rPr>
                <w:rFonts w:cs="Arial" w:ascii="Arial" w:hAnsi="Arial"/>
                <w:sz w:val="22"/>
                <w:szCs w:val="22"/>
                <w:lang w:eastAsia="en-US"/>
              </w:rPr>
              <w:t>) is:</w:t>
            </w:r>
          </w:p>
          <w:p>
            <w:pPr>
              <w:pStyle w:val="Normal"/>
              <w:widowControl w:val="false"/>
              <w:spacing w:before="60" w:after="60"/>
              <w:rPr>
                <w:rFonts w:ascii="Arial" w:hAnsi="Arial" w:cs="Arial"/>
                <w:sz w:val="22"/>
                <w:szCs w:val="22"/>
                <w:lang w:eastAsia="en-US"/>
              </w:rPr>
            </w:pPr>
            <w:r>
              <w:rPr>
                <w:rFonts w:cs="Arial" w:ascii="Arial" w:hAnsi="Arial"/>
                <w:sz w:val="22"/>
                <w:szCs w:val="22"/>
                <w:lang w:eastAsia="en-US"/>
              </w:rPr>
              <w:t>(ITT SubClause 52.6)</w:t>
            </w:r>
          </w:p>
        </w:tc>
        <w:tc>
          <w:tcPr>
            <w:tcW w:w="3780" w:type="dxa"/>
            <w:tcBorders>
              <w:top w:val="single" w:sz="4" w:space="0" w:color="000000"/>
            </w:tcBorders>
            <w:shd w:color="auto" w:fill="auto" w:val="clear"/>
          </w:tcPr>
          <w:p>
            <w:pPr>
              <w:pStyle w:val="Normal"/>
              <w:widowControl w:val="false"/>
              <w:spacing w:before="60" w:after="60"/>
              <w:rPr>
                <w:rFonts w:ascii="Arial" w:hAnsi="Arial" w:cs="Arial"/>
                <w:i/>
                <w:i/>
                <w:iCs/>
                <w:sz w:val="22"/>
                <w:szCs w:val="22"/>
                <w:lang w:eastAsia="en-US"/>
              </w:rPr>
            </w:pPr>
            <w:r>
              <w:rPr>
                <w:rFonts w:cs="Arial" w:ascii="Arial" w:hAnsi="Arial"/>
                <w:i/>
                <w:iCs/>
                <w:sz w:val="22"/>
                <w:szCs w:val="22"/>
                <w:lang w:eastAsia="en-US"/>
              </w:rPr>
              <w:t>Tk.</w:t>
            </w:r>
          </w:p>
          <w:p>
            <w:pPr>
              <w:pStyle w:val="Normal"/>
              <w:widowControl w:val="false"/>
              <w:spacing w:before="60" w:after="60"/>
              <w:rPr>
                <w:rFonts w:ascii="Arial" w:hAnsi="Arial" w:cs="Arial"/>
                <w:i/>
                <w:i/>
                <w:iCs/>
                <w:sz w:val="18"/>
                <w:szCs w:val="18"/>
                <w:lang w:eastAsia="en-US"/>
              </w:rPr>
            </w:pPr>
            <w:r>
              <w:rPr>
                <w:rFonts w:cs="Arial" w:ascii="Arial" w:hAnsi="Arial"/>
                <w:i/>
                <w:iCs/>
                <w:sz w:val="18"/>
                <w:szCs w:val="18"/>
                <w:lang w:eastAsia="en-US"/>
              </w:rPr>
              <w:t>[in figures]</w:t>
            </w:r>
          </w:p>
          <w:p>
            <w:pPr>
              <w:pStyle w:val="Normal"/>
              <w:widowControl w:val="false"/>
              <w:spacing w:before="60" w:after="60"/>
              <w:rPr>
                <w:rFonts w:ascii="Arial" w:hAnsi="Arial" w:cs="Arial"/>
                <w:i/>
                <w:i/>
                <w:iCs/>
                <w:sz w:val="22"/>
                <w:szCs w:val="22"/>
                <w:lang w:eastAsia="en-US"/>
              </w:rPr>
            </w:pPr>
            <w:r>
              <w:rPr>
                <w:rFonts w:cs="Arial" w:ascii="Arial" w:hAnsi="Arial"/>
                <w:i/>
                <w:iCs/>
                <w:sz w:val="22"/>
                <w:szCs w:val="22"/>
                <w:lang w:eastAsia="en-US"/>
              </w:rPr>
              <w:t>Taka</w:t>
            </w:r>
          </w:p>
          <w:p>
            <w:pPr>
              <w:pStyle w:val="Normal"/>
              <w:widowControl w:val="false"/>
              <w:spacing w:before="60" w:after="60"/>
              <w:rPr>
                <w:rFonts w:ascii="Arial" w:hAnsi="Arial" w:cs="Arial"/>
                <w:sz w:val="18"/>
                <w:szCs w:val="18"/>
                <w:lang w:eastAsia="en-US"/>
              </w:rPr>
            </w:pPr>
            <w:r>
              <w:rPr>
                <w:rFonts w:cs="Arial" w:ascii="Arial" w:hAnsi="Arial"/>
                <w:i/>
                <w:iCs/>
                <w:sz w:val="18"/>
                <w:szCs w:val="18"/>
                <w:lang w:eastAsia="en-US"/>
              </w:rPr>
              <w:t>[in words]</w:t>
            </w:r>
          </w:p>
        </w:tc>
        <w:tc>
          <w:tcPr>
            <w:tcW w:w="4490" w:type="dxa"/>
            <w:tcBorders/>
          </w:tcPr>
          <w:p>
            <w:pPr>
              <w:pStyle w:val="Normal"/>
              <w:widowControl w:val="false"/>
              <w:spacing w:before="60" w:after="60"/>
              <w:rPr>
                <w:sz w:val="20"/>
                <w:szCs w:val="20"/>
              </w:rPr>
            </w:pPr>
            <w:r>
              <w:rPr>
                <w:sz w:val="20"/>
                <w:szCs w:val="20"/>
              </w:rPr>
            </w:r>
          </w:p>
        </w:tc>
      </w:tr>
    </w:tbl>
    <w:p>
      <w:pPr>
        <w:pStyle w:val="Normal"/>
        <w:rPr>
          <w:rFonts w:ascii="Arial" w:hAnsi="Arial" w:cs="Arial"/>
          <w:sz w:val="21"/>
        </w:rPr>
      </w:pPr>
      <w:r>
        <w:rPr>
          <w:rFonts w:cs="Arial" w:ascii="Arial" w:hAnsi="Arial"/>
          <w:sz w:val="21"/>
        </w:rPr>
      </w:r>
    </w:p>
    <w:p>
      <w:pPr>
        <w:pStyle w:val="Normal"/>
        <w:rPr>
          <w:rFonts w:ascii="Arial" w:hAnsi="Arial" w:cs="Arial"/>
          <w:sz w:val="22"/>
          <w:szCs w:val="22"/>
        </w:rPr>
      </w:pPr>
      <w:r>
        <w:rPr>
          <w:rFonts w:cs="Arial" w:ascii="Arial" w:hAnsi="Arial"/>
          <w:sz w:val="21"/>
        </w:rPr>
        <w:tab/>
      </w:r>
      <w:r>
        <w:rPr>
          <w:rFonts w:cs="Arial" w:ascii="Arial" w:hAnsi="Arial"/>
          <w:sz w:val="22"/>
          <w:szCs w:val="22"/>
        </w:rPr>
        <w:t>In signing this letter, and in submitting our Tender, we also confirm that:</w:t>
      </w:r>
    </w:p>
    <w:p>
      <w:pPr>
        <w:pStyle w:val="Normal"/>
        <w:rPr>
          <w:rFonts w:ascii="Arial" w:hAnsi="Arial" w:cs="Arial"/>
          <w:sz w:val="21"/>
        </w:rPr>
      </w:pPr>
      <w:r>
        <w:rPr>
          <w:rFonts w:cs="Arial" w:ascii="Arial" w:hAnsi="Arial"/>
          <w:sz w:val="21"/>
        </w:rPr>
      </w:r>
    </w:p>
    <w:p>
      <w:pPr>
        <w:pStyle w:val="Normal"/>
        <w:widowControl w:val="false"/>
        <w:numPr>
          <w:ilvl w:val="0"/>
          <w:numId w:val="53"/>
        </w:numPr>
        <w:tabs>
          <w:tab w:val="clear" w:pos="720"/>
          <w:tab w:val="left" w:pos="1242" w:leader="none"/>
        </w:tabs>
        <w:ind w:left="1260" w:hanging="540"/>
        <w:jc w:val="both"/>
        <w:rPr>
          <w:rFonts w:ascii="Arial" w:hAnsi="Arial" w:cs="Arial"/>
          <w:sz w:val="22"/>
          <w:szCs w:val="22"/>
        </w:rPr>
      </w:pPr>
      <w:r>
        <w:rPr>
          <w:rFonts w:cs="Arial" w:ascii="Arial" w:hAnsi="Arial"/>
          <w:sz w:val="22"/>
          <w:szCs w:val="22"/>
        </w:rPr>
        <w:t>our Tender shall be valid for the period stated in the Tender Data Sheet (ITT SubClause 29.1) and it shall remain binding upon us and may be accepted at any time before the expiration of that period;</w:t>
      </w:r>
    </w:p>
    <w:p>
      <w:pPr>
        <w:pStyle w:val="Normal"/>
        <w:ind w:left="720" w:hanging="0"/>
        <w:rPr>
          <w:rFonts w:ascii="Arial" w:hAnsi="Arial" w:cs="Arial"/>
          <w:sz w:val="21"/>
          <w:szCs w:val="21"/>
        </w:rPr>
      </w:pPr>
      <w:r>
        <w:rPr>
          <w:rFonts w:cs="Arial" w:ascii="Arial" w:hAnsi="Arial"/>
          <w:sz w:val="21"/>
          <w:szCs w:val="21"/>
        </w:rPr>
      </w:r>
    </w:p>
    <w:p>
      <w:pPr>
        <w:pStyle w:val="Normal"/>
        <w:widowControl w:val="false"/>
        <w:numPr>
          <w:ilvl w:val="0"/>
          <w:numId w:val="53"/>
        </w:numPr>
        <w:tabs>
          <w:tab w:val="clear" w:pos="720"/>
          <w:tab w:val="left" w:pos="1242" w:leader="none"/>
        </w:tabs>
        <w:ind w:left="1260" w:hanging="540"/>
        <w:jc w:val="both"/>
        <w:rPr>
          <w:rFonts w:ascii="Arial" w:hAnsi="Arial" w:cs="Arial"/>
          <w:sz w:val="22"/>
          <w:szCs w:val="22"/>
        </w:rPr>
      </w:pPr>
      <w:r>
        <w:rPr>
          <w:rFonts w:cs="Arial" w:ascii="Arial" w:hAnsi="Arial"/>
          <w:sz w:val="22"/>
          <w:szCs w:val="22"/>
        </w:rPr>
        <w:t xml:space="preserve">a Tender Security is attached in the form of a </w:t>
      </w:r>
      <w:r>
        <w:rPr>
          <w:rFonts w:cs="Arial" w:ascii="Arial" w:hAnsi="Arial"/>
          <w:i/>
          <w:iCs/>
          <w:sz w:val="22"/>
          <w:szCs w:val="22"/>
        </w:rPr>
        <w:t>[Pay Order / Bank Draft /  Bank Guarantee]</w:t>
      </w:r>
      <w:r>
        <w:rPr>
          <w:rFonts w:cs="Arial" w:ascii="Arial" w:hAnsi="Arial"/>
          <w:sz w:val="22"/>
          <w:szCs w:val="22"/>
        </w:rPr>
        <w:t xml:space="preserve"> in the amount stated in the Tender Data Sheet (ITT Clause 31) and valid for a period of twenty-eight (28) days beyond the Tender Validity date; </w:t>
      </w:r>
    </w:p>
    <w:p>
      <w:pPr>
        <w:pStyle w:val="Normal"/>
        <w:ind w:left="720" w:hanging="0"/>
        <w:rPr>
          <w:rFonts w:ascii="Arial" w:hAnsi="Arial" w:cs="Arial"/>
          <w:sz w:val="22"/>
          <w:szCs w:val="22"/>
        </w:rPr>
      </w:pPr>
      <w:r>
        <w:rPr>
          <w:rFonts w:cs="Arial" w:ascii="Arial" w:hAnsi="Arial"/>
          <w:sz w:val="22"/>
          <w:szCs w:val="22"/>
        </w:rPr>
      </w:r>
    </w:p>
    <w:p>
      <w:pPr>
        <w:pStyle w:val="Normal"/>
        <w:widowControl w:val="false"/>
        <w:numPr>
          <w:ilvl w:val="0"/>
          <w:numId w:val="53"/>
        </w:numPr>
        <w:tabs>
          <w:tab w:val="clear" w:pos="720"/>
          <w:tab w:val="left" w:pos="1242" w:leader="none"/>
        </w:tabs>
        <w:ind w:left="1260" w:hanging="540"/>
        <w:jc w:val="both"/>
        <w:rPr>
          <w:rFonts w:ascii="Arial" w:hAnsi="Arial" w:cs="Arial"/>
          <w:sz w:val="22"/>
          <w:szCs w:val="22"/>
        </w:rPr>
      </w:pPr>
      <w:r>
        <w:rPr>
          <w:rFonts w:cs="Arial" w:ascii="Arial" w:hAnsi="Arial"/>
          <w:sz w:val="22"/>
          <w:szCs w:val="22"/>
        </w:rPr>
        <w:t>if our Tender is accepted, we commit to furnishing a Performance Security</w:t>
      </w:r>
      <w:r>
        <w:fldChar w:fldCharType="begin"/>
      </w:r>
      <w:r>
        <w:rPr>
          <w:sz w:val="22"/>
          <w:szCs w:val="22"/>
          <w:rFonts w:cs="Arial" w:ascii="Arial" w:hAnsi="Arial"/>
        </w:rPr>
        <w:instrText> XE "Performance Security: : " </w:instrText>
      </w:r>
      <w:r>
        <w:rPr>
          <w:sz w:val="22"/>
          <w:szCs w:val="22"/>
          <w:rFonts w:cs="Arial" w:ascii="Arial" w:hAnsi="Arial"/>
        </w:rPr>
        <w:fldChar w:fldCharType="separate"/>
      </w:r>
      <w:r>
        <w:rPr>
          <w:rFonts w:cs="Arial" w:ascii="Arial" w:hAnsi="Arial"/>
          <w:sz w:val="22"/>
          <w:szCs w:val="22"/>
        </w:rPr>
      </w:r>
      <w:r>
        <w:rPr>
          <w:sz w:val="22"/>
          <w:szCs w:val="22"/>
          <w:rFonts w:cs="Arial" w:ascii="Arial" w:hAnsi="Arial"/>
        </w:rPr>
        <w:fldChar w:fldCharType="end"/>
      </w:r>
      <w:r>
        <w:rPr>
          <w:rFonts w:cs="Arial" w:ascii="Arial" w:hAnsi="Arial"/>
          <w:sz w:val="22"/>
          <w:szCs w:val="22"/>
        </w:rPr>
        <w:t xml:space="preserve"> in the amount stated in the Tender Data Sheet (ITT SubClause 62.1) in the form stated in Tender Data Sheet (ITT SubClause 63.1) and valid for a period of twenty-eight (28) days beyond the date of completion</w:t>
      </w:r>
      <w:r>
        <w:fldChar w:fldCharType="begin"/>
      </w:r>
      <w:r>
        <w:rPr>
          <w:sz w:val="22"/>
          <w:szCs w:val="22"/>
          <w:rFonts w:cs="Arial" w:ascii="Arial" w:hAnsi="Arial"/>
        </w:rPr>
        <w:instrText> XE "date of completion: : " </w:instrText>
      </w:r>
      <w:r>
        <w:rPr>
          <w:sz w:val="22"/>
          <w:szCs w:val="22"/>
          <w:rFonts w:cs="Arial" w:ascii="Arial" w:hAnsi="Arial"/>
        </w:rPr>
        <w:fldChar w:fldCharType="separate"/>
      </w:r>
      <w:r>
        <w:rPr>
          <w:rFonts w:cs="Arial" w:ascii="Arial" w:hAnsi="Arial"/>
          <w:sz w:val="22"/>
          <w:szCs w:val="22"/>
        </w:rPr>
      </w:r>
      <w:r>
        <w:rPr>
          <w:sz w:val="22"/>
          <w:szCs w:val="22"/>
          <w:rFonts w:cs="Arial" w:ascii="Arial" w:hAnsi="Arial"/>
        </w:rPr>
        <w:fldChar w:fldCharType="end"/>
      </w:r>
      <w:r>
        <w:rPr>
          <w:rFonts w:cs="Arial" w:ascii="Arial" w:hAnsi="Arial"/>
          <w:sz w:val="22"/>
          <w:szCs w:val="22"/>
        </w:rPr>
        <w:t xml:space="preserve"> of our performance obligations;</w:t>
      </w:r>
    </w:p>
    <w:p>
      <w:pPr>
        <w:pStyle w:val="Normal"/>
        <w:rPr>
          <w:rFonts w:ascii="Arial" w:hAnsi="Arial" w:cs="Arial"/>
          <w:sz w:val="22"/>
          <w:szCs w:val="22"/>
        </w:rPr>
      </w:pPr>
      <w:r>
        <w:rPr>
          <w:rFonts w:cs="Arial" w:ascii="Arial" w:hAnsi="Arial"/>
          <w:sz w:val="22"/>
          <w:szCs w:val="22"/>
        </w:rPr>
      </w:r>
    </w:p>
    <w:p>
      <w:pPr>
        <w:pStyle w:val="Normal"/>
        <w:widowControl w:val="false"/>
        <w:numPr>
          <w:ilvl w:val="0"/>
          <w:numId w:val="53"/>
        </w:numPr>
        <w:tabs>
          <w:tab w:val="clear" w:pos="720"/>
          <w:tab w:val="left" w:pos="1242" w:leader="none"/>
        </w:tabs>
        <w:ind w:left="1260" w:hanging="540"/>
        <w:jc w:val="both"/>
        <w:rPr>
          <w:rFonts w:ascii="Arial" w:hAnsi="Arial" w:cs="Arial"/>
          <w:sz w:val="22"/>
          <w:szCs w:val="22"/>
        </w:rPr>
      </w:pPr>
      <w:r>
        <w:rPr>
          <w:rFonts w:cs="Arial" w:ascii="Arial" w:hAnsi="Arial"/>
          <w:sz w:val="22"/>
          <w:szCs w:val="22"/>
        </w:rPr>
        <w:t xml:space="preserve">we have examined and have no reservations to the Tender Document, issued by you on </w:t>
      </w:r>
      <w:r>
        <w:rPr>
          <w:rFonts w:cs="Arial" w:ascii="Arial" w:hAnsi="Arial"/>
          <w:i/>
          <w:iCs/>
          <w:sz w:val="22"/>
          <w:szCs w:val="22"/>
        </w:rPr>
        <w:t>[insert date];</w:t>
      </w:r>
    </w:p>
    <w:p>
      <w:pPr>
        <w:pStyle w:val="Normal"/>
        <w:rPr>
          <w:rFonts w:ascii="Arial" w:hAnsi="Arial" w:cs="Arial"/>
          <w:i/>
          <w:i/>
          <w:iCs/>
          <w:sz w:val="22"/>
          <w:szCs w:val="22"/>
        </w:rPr>
      </w:pPr>
      <w:r>
        <w:rPr>
          <w:rFonts w:cs="Arial" w:ascii="Arial" w:hAnsi="Arial"/>
          <w:i/>
          <w:iCs/>
          <w:sz w:val="22"/>
          <w:szCs w:val="22"/>
        </w:rPr>
      </w:r>
    </w:p>
    <w:p>
      <w:pPr>
        <w:pStyle w:val="Normal"/>
        <w:ind w:left="1242" w:hanging="360"/>
        <w:rPr>
          <w:rFonts w:ascii="Arial" w:hAnsi="Arial" w:cs="Arial"/>
          <w:sz w:val="22"/>
          <w:szCs w:val="22"/>
        </w:rPr>
      </w:pPr>
      <w:r>
        <w:rPr>
          <w:rFonts w:cs="Arial" w:ascii="Arial" w:hAnsi="Arial"/>
          <w:sz w:val="22"/>
          <w:szCs w:val="22"/>
        </w:rPr>
        <w:t>including Addendum to Tender Documents No(s) [</w:t>
      </w:r>
      <w:r>
        <w:rPr>
          <w:rFonts w:cs="Arial" w:ascii="Arial" w:hAnsi="Arial"/>
          <w:i/>
          <w:iCs/>
          <w:sz w:val="22"/>
          <w:szCs w:val="22"/>
        </w:rPr>
        <w:t>state numbers</w:t>
      </w:r>
      <w:r>
        <w:rPr>
          <w:rFonts w:cs="Arial" w:ascii="Arial" w:hAnsi="Arial"/>
          <w:sz w:val="22"/>
          <w:szCs w:val="22"/>
        </w:rPr>
        <w:t xml:space="preserve">] ,issued in accordance with the Instructions to Tenderers (ITT Clause 11). </w:t>
      </w:r>
      <w:r>
        <w:rPr>
          <w:rFonts w:cs="Arial" w:ascii="Arial" w:hAnsi="Arial"/>
          <w:i/>
          <w:iCs/>
          <w:sz w:val="22"/>
          <w:szCs w:val="22"/>
        </w:rPr>
        <w:t>[insert the number and issuing date of each addendum; or delete this sentence if no Addendum have been issued];</w:t>
      </w:r>
    </w:p>
    <w:p>
      <w:pPr>
        <w:pStyle w:val="Normal"/>
        <w:ind w:left="720" w:hanging="0"/>
        <w:rPr>
          <w:rFonts w:ascii="Arial" w:hAnsi="Arial" w:cs="Arial"/>
          <w:sz w:val="22"/>
          <w:szCs w:val="22"/>
        </w:rPr>
      </w:pPr>
      <w:r>
        <w:rPr>
          <w:rFonts w:cs="Arial" w:ascii="Arial" w:hAnsi="Arial"/>
          <w:sz w:val="22"/>
          <w:szCs w:val="22"/>
        </w:rPr>
      </w:r>
    </w:p>
    <w:p>
      <w:pPr>
        <w:pStyle w:val="Normal"/>
        <w:widowControl w:val="false"/>
        <w:numPr>
          <w:ilvl w:val="0"/>
          <w:numId w:val="53"/>
        </w:numPr>
        <w:tabs>
          <w:tab w:val="clear" w:pos="720"/>
          <w:tab w:val="left" w:pos="1242" w:leader="none"/>
        </w:tabs>
        <w:ind w:left="1260" w:hanging="540"/>
        <w:jc w:val="both"/>
        <w:rPr>
          <w:rFonts w:ascii="Arial" w:hAnsi="Arial" w:cs="Arial"/>
          <w:sz w:val="22"/>
          <w:szCs w:val="22"/>
        </w:rPr>
      </w:pPr>
      <w:r>
        <w:rPr>
          <w:rFonts w:cs="Arial" w:ascii="Arial" w:hAnsi="Arial"/>
          <w:sz w:val="22"/>
          <w:szCs w:val="22"/>
        </w:rPr>
        <w:t>we, including as applicable,  subcontractor for any part of the contract resulting from this Tender process, have nationalities from eligible countries, in accordance with ITT SubClause  5.1;</w:t>
      </w:r>
    </w:p>
    <w:p>
      <w:pPr>
        <w:pStyle w:val="Normal"/>
        <w:ind w:left="720" w:hanging="0"/>
        <w:rPr>
          <w:rFonts w:ascii="Arial" w:hAnsi="Arial" w:cs="Arial"/>
          <w:sz w:val="22"/>
          <w:szCs w:val="22"/>
        </w:rPr>
      </w:pPr>
      <w:r>
        <w:rPr>
          <w:rFonts w:cs="Arial" w:ascii="Arial" w:hAnsi="Arial"/>
          <w:sz w:val="22"/>
          <w:szCs w:val="22"/>
        </w:rPr>
      </w:r>
    </w:p>
    <w:p>
      <w:pPr>
        <w:pStyle w:val="Normal"/>
        <w:widowControl w:val="false"/>
        <w:numPr>
          <w:ilvl w:val="0"/>
          <w:numId w:val="53"/>
        </w:numPr>
        <w:tabs>
          <w:tab w:val="clear" w:pos="720"/>
          <w:tab w:val="left" w:pos="1242" w:leader="none"/>
        </w:tabs>
        <w:ind w:left="1260" w:hanging="540"/>
        <w:jc w:val="both"/>
        <w:rPr>
          <w:rFonts w:ascii="Arial" w:hAnsi="Arial" w:cs="Arial"/>
          <w:sz w:val="22"/>
          <w:szCs w:val="22"/>
        </w:rPr>
      </w:pPr>
      <w:r>
        <w:rPr>
          <w:rFonts w:cs="Arial" w:ascii="Arial" w:hAnsi="Arial"/>
          <w:sz w:val="22"/>
          <w:szCs w:val="22"/>
        </w:rPr>
        <w:t>we  are submitting this Tender as a sole Tenderer</w:t>
      </w:r>
    </w:p>
    <w:p>
      <w:pPr>
        <w:pStyle w:val="Normal"/>
        <w:ind w:left="1440" w:hanging="0"/>
        <w:rPr>
          <w:rFonts w:ascii="Arial" w:hAnsi="Arial" w:cs="Arial"/>
          <w:i/>
          <w:i/>
          <w:iCs/>
          <w:sz w:val="22"/>
          <w:szCs w:val="22"/>
        </w:rPr>
      </w:pPr>
      <w:r>
        <w:rPr>
          <w:rFonts w:cs="Arial" w:ascii="Arial" w:hAnsi="Arial"/>
          <w:i/>
          <w:iCs/>
          <w:sz w:val="22"/>
          <w:szCs w:val="22"/>
        </w:rPr>
      </w:r>
    </w:p>
    <w:p>
      <w:pPr>
        <w:pStyle w:val="Normal"/>
        <w:widowControl w:val="false"/>
        <w:numPr>
          <w:ilvl w:val="0"/>
          <w:numId w:val="53"/>
        </w:numPr>
        <w:tabs>
          <w:tab w:val="clear" w:pos="720"/>
          <w:tab w:val="left" w:pos="1242" w:leader="none"/>
        </w:tabs>
        <w:ind w:left="1260" w:hanging="540"/>
        <w:jc w:val="both"/>
        <w:rPr>
          <w:rFonts w:ascii="Arial" w:hAnsi="Arial" w:cs="Arial"/>
          <w:sz w:val="22"/>
          <w:szCs w:val="22"/>
        </w:rPr>
      </w:pPr>
      <w:r>
        <w:rPr>
          <w:rFonts w:cs="Arial" w:ascii="Arial" w:hAnsi="Arial"/>
          <w:sz w:val="22"/>
          <w:szCs w:val="22"/>
        </w:rPr>
        <w:t>we are not a Government owned entity as defined in ITT SubClause 5.10            or</w:t>
      </w:r>
    </w:p>
    <w:p>
      <w:pPr>
        <w:pStyle w:val="Normal"/>
        <w:ind w:left="1242" w:firstLine="18"/>
        <w:rPr>
          <w:rFonts w:ascii="Arial" w:hAnsi="Arial" w:cs="Arial"/>
          <w:sz w:val="22"/>
          <w:szCs w:val="22"/>
        </w:rPr>
      </w:pPr>
      <w:r>
        <w:rPr>
          <w:rFonts w:cs="Arial" w:ascii="Arial" w:hAnsi="Arial"/>
          <w:sz w:val="22"/>
          <w:szCs w:val="22"/>
        </w:rPr>
        <w:t>we are a Government owned entity, and we meet the requirements of ITT SubClause 5.10];</w:t>
      </w:r>
    </w:p>
    <w:p>
      <w:pPr>
        <w:pStyle w:val="Normal"/>
        <w:rPr>
          <w:rFonts w:ascii="Arial" w:hAnsi="Arial" w:cs="Arial"/>
          <w:i/>
          <w:i/>
          <w:iCs/>
          <w:sz w:val="22"/>
          <w:szCs w:val="22"/>
        </w:rPr>
      </w:pPr>
      <w:r>
        <w:rPr>
          <w:rFonts w:cs="Arial" w:ascii="Arial" w:hAnsi="Arial"/>
          <w:sz w:val="22"/>
          <w:szCs w:val="22"/>
        </w:rPr>
        <w:t xml:space="preserve">                     </w:t>
      </w:r>
      <w:r>
        <w:rPr>
          <w:rFonts w:cs="Arial" w:ascii="Arial" w:hAnsi="Arial"/>
          <w:sz w:val="22"/>
          <w:szCs w:val="22"/>
        </w:rPr>
        <w:t>(</w:t>
      </w:r>
      <w:r>
        <w:rPr>
          <w:rFonts w:cs="Arial" w:ascii="Arial" w:hAnsi="Arial"/>
          <w:i/>
          <w:iCs/>
          <w:sz w:val="22"/>
          <w:szCs w:val="22"/>
        </w:rPr>
        <w:t>delete one of the above as appropriate)</w:t>
      </w:r>
    </w:p>
    <w:p>
      <w:pPr>
        <w:pStyle w:val="Normal"/>
        <w:ind w:left="720" w:hanging="0"/>
        <w:rPr>
          <w:rFonts w:ascii="Arial" w:hAnsi="Arial" w:cs="Arial"/>
          <w:sz w:val="14"/>
          <w:szCs w:val="22"/>
        </w:rPr>
      </w:pPr>
      <w:r>
        <w:rPr>
          <w:rFonts w:cs="Arial" w:ascii="Arial" w:hAnsi="Arial"/>
          <w:sz w:val="14"/>
          <w:szCs w:val="22"/>
        </w:rPr>
      </w:r>
    </w:p>
    <w:p>
      <w:pPr>
        <w:pStyle w:val="Normal"/>
        <w:widowControl w:val="false"/>
        <w:numPr>
          <w:ilvl w:val="0"/>
          <w:numId w:val="53"/>
        </w:numPr>
        <w:tabs>
          <w:tab w:val="clear" w:pos="720"/>
          <w:tab w:val="left" w:pos="1242" w:leader="none"/>
        </w:tabs>
        <w:ind w:left="1260" w:hanging="540"/>
        <w:jc w:val="both"/>
        <w:rPr>
          <w:rFonts w:ascii="Arial" w:hAnsi="Arial" w:cs="Arial"/>
          <w:spacing w:val="2"/>
          <w:sz w:val="22"/>
          <w:szCs w:val="22"/>
        </w:rPr>
      </w:pPr>
      <w:r>
        <w:rPr>
          <w:rFonts w:cs="Arial" w:ascii="Arial" w:hAnsi="Arial"/>
          <w:spacing w:val="2"/>
          <w:sz w:val="22"/>
          <w:szCs w:val="22"/>
        </w:rPr>
        <w:t>we, declare that we are not associated, nor have been associated in the past, directly or indirectly, with a consultant or any other entity that has prepared the design, specifications and other documents, in accordance with ITT Subclause 5.6;</w:t>
      </w:r>
    </w:p>
    <w:p>
      <w:pPr>
        <w:pStyle w:val="Normal"/>
        <w:ind w:left="720" w:hanging="0"/>
        <w:rPr>
          <w:rFonts w:ascii="Arial" w:hAnsi="Arial" w:cs="Arial"/>
          <w:sz w:val="14"/>
          <w:szCs w:val="22"/>
        </w:rPr>
      </w:pPr>
      <w:r>
        <w:rPr>
          <w:rFonts w:cs="Arial" w:ascii="Arial" w:hAnsi="Arial"/>
          <w:sz w:val="14"/>
          <w:szCs w:val="22"/>
        </w:rPr>
      </w:r>
    </w:p>
    <w:p>
      <w:pPr>
        <w:pStyle w:val="Normal"/>
        <w:widowControl w:val="false"/>
        <w:numPr>
          <w:ilvl w:val="0"/>
          <w:numId w:val="53"/>
        </w:numPr>
        <w:tabs>
          <w:tab w:val="clear" w:pos="720"/>
          <w:tab w:val="left" w:pos="1242" w:leader="none"/>
        </w:tabs>
        <w:ind w:left="1260" w:hanging="540"/>
        <w:jc w:val="both"/>
        <w:rPr>
          <w:rFonts w:ascii="Arial" w:hAnsi="Arial" w:cs="Arial"/>
          <w:sz w:val="22"/>
          <w:szCs w:val="22"/>
        </w:rPr>
      </w:pPr>
      <w:r>
        <w:rPr>
          <w:rFonts w:cs="Arial" w:ascii="Arial" w:hAnsi="Arial"/>
          <w:sz w:val="22"/>
          <w:szCs w:val="22"/>
        </w:rPr>
        <w:t>we, including as applicable Subcontractor have not been declared ineligible by the Government of Bangladesh or the Development Partner, under the laws of Bangladesh or official regulations or by an act of compliance with a decision of the United Nations Security Council on charges of engaging in corrupt, fraudulent, collusive, coercive(or obstructive in case of Development Partner)practices, in accordance with ITT Subclause 5.9;</w:t>
      </w:r>
    </w:p>
    <w:p>
      <w:pPr>
        <w:pStyle w:val="Normal"/>
        <w:ind w:left="720" w:hanging="0"/>
        <w:rPr>
          <w:rFonts w:ascii="Arial" w:hAnsi="Arial" w:cs="Arial"/>
          <w:sz w:val="22"/>
          <w:szCs w:val="22"/>
        </w:rPr>
      </w:pPr>
      <w:r>
        <w:rPr>
          <w:rFonts w:cs="Arial" w:ascii="Arial" w:hAnsi="Arial"/>
          <w:sz w:val="22"/>
          <w:szCs w:val="22"/>
        </w:rPr>
      </w:r>
    </w:p>
    <w:p>
      <w:pPr>
        <w:pStyle w:val="Normal"/>
        <w:widowControl w:val="false"/>
        <w:numPr>
          <w:ilvl w:val="0"/>
          <w:numId w:val="53"/>
        </w:numPr>
        <w:tabs>
          <w:tab w:val="clear" w:pos="720"/>
          <w:tab w:val="left" w:pos="1242" w:leader="none"/>
        </w:tabs>
        <w:ind w:left="1260" w:hanging="540"/>
        <w:jc w:val="both"/>
        <w:rPr>
          <w:rFonts w:ascii="Arial" w:hAnsi="Arial" w:cs="Arial"/>
          <w:sz w:val="22"/>
          <w:szCs w:val="22"/>
        </w:rPr>
      </w:pPr>
      <w:r>
        <w:rPr>
          <w:rFonts w:cs="Arial" w:ascii="Arial" w:hAnsi="Arial"/>
          <w:sz w:val="22"/>
          <w:szCs w:val="22"/>
        </w:rPr>
        <w:t>furthermore, we are aware of ITT Sub Clause 4.2 concerning such practices and pledge not to indulge in such practices in competing for or in executing the Contract;</w:t>
      </w:r>
    </w:p>
    <w:p>
      <w:pPr>
        <w:pStyle w:val="Normal"/>
        <w:rPr>
          <w:rFonts w:ascii="Arial" w:hAnsi="Arial" w:cs="Arial"/>
          <w:sz w:val="22"/>
          <w:szCs w:val="22"/>
        </w:rPr>
      </w:pPr>
      <w:r>
        <w:rPr>
          <w:rFonts w:cs="Arial" w:ascii="Arial" w:hAnsi="Arial"/>
          <w:sz w:val="22"/>
          <w:szCs w:val="22"/>
        </w:rPr>
      </w:r>
    </w:p>
    <w:p>
      <w:pPr>
        <w:pStyle w:val="Normal"/>
        <w:widowControl w:val="false"/>
        <w:numPr>
          <w:ilvl w:val="0"/>
          <w:numId w:val="53"/>
        </w:numPr>
        <w:tabs>
          <w:tab w:val="clear" w:pos="720"/>
          <w:tab w:val="left" w:pos="1242" w:leader="none"/>
        </w:tabs>
        <w:ind w:left="1260" w:hanging="540"/>
        <w:jc w:val="both"/>
        <w:rPr>
          <w:rFonts w:ascii="Arial" w:hAnsi="Arial" w:cs="Arial"/>
          <w:sz w:val="22"/>
          <w:szCs w:val="22"/>
        </w:rPr>
      </w:pPr>
      <w:r>
        <w:rPr>
          <w:rFonts w:cs="Arial" w:ascii="Arial" w:hAnsi="Arial"/>
          <w:sz w:val="22"/>
          <w:szCs w:val="22"/>
        </w:rPr>
        <w:t>we intend to subcontract an activity or part of the Supply, in accordance with ITT Subclause 16.1 to the following Subcontractor(s);</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38"/>
          <w:szCs w:val="22"/>
        </w:rPr>
      </w:pPr>
      <w:r>
        <w:rPr>
          <w:rFonts w:cs="Arial" w:ascii="Arial" w:hAnsi="Arial"/>
          <w:sz w:val="38"/>
          <w:szCs w:val="22"/>
        </w:rPr>
      </w:r>
    </w:p>
    <w:tbl>
      <w:tblPr>
        <w:tblW w:w="8010" w:type="dxa"/>
        <w:jc w:val="left"/>
        <w:tblInd w:w="829" w:type="dxa"/>
        <w:tblLayout w:type="fixed"/>
        <w:tblCellMar>
          <w:top w:w="0" w:type="dxa"/>
          <w:left w:w="108" w:type="dxa"/>
          <w:bottom w:w="0" w:type="dxa"/>
          <w:right w:w="108" w:type="dxa"/>
        </w:tblCellMar>
        <w:tblLook w:val="01e0" w:noHBand="0" w:noVBand="0" w:firstColumn="1" w:lastRow="1" w:lastColumn="1" w:firstRow="1"/>
      </w:tblPr>
      <w:tblGrid>
        <w:gridCol w:w="4230"/>
        <w:gridCol w:w="3779"/>
      </w:tblGrid>
      <w:tr>
        <w:trPr>
          <w:trHeight w:val="360" w:hRule="atLeast"/>
        </w:trPr>
        <w:tc>
          <w:tcPr>
            <w:tcW w:w="4230" w:type="dxa"/>
            <w:tcBorders/>
            <w:shd w:color="auto" w:fill="auto" w:val="clear"/>
          </w:tcPr>
          <w:p>
            <w:pPr>
              <w:pStyle w:val="Normal"/>
              <w:widowControl w:val="false"/>
              <w:spacing w:before="60" w:after="60"/>
              <w:rPr>
                <w:rFonts w:ascii="Arial" w:hAnsi="Arial" w:cs="Arial"/>
                <w:sz w:val="22"/>
                <w:szCs w:val="22"/>
                <w:lang w:eastAsia="en-US"/>
              </w:rPr>
            </w:pPr>
            <w:r>
              <w:rPr>
                <w:rFonts w:cs="Arial" w:ascii="Arial" w:hAnsi="Arial"/>
                <w:sz w:val="22"/>
                <w:szCs w:val="22"/>
                <w:lang w:eastAsia="en-US"/>
              </w:rPr>
              <w:t>Nature of the Supply or related service</w:t>
            </w:r>
          </w:p>
        </w:tc>
        <w:tc>
          <w:tcPr>
            <w:tcW w:w="3779" w:type="dxa"/>
            <w:tcBorders/>
            <w:shd w:color="auto" w:fill="auto" w:val="clear"/>
          </w:tcPr>
          <w:p>
            <w:pPr>
              <w:pStyle w:val="Normal"/>
              <w:widowControl w:val="false"/>
              <w:spacing w:before="60" w:after="60"/>
              <w:rPr>
                <w:rFonts w:ascii="Arial" w:hAnsi="Arial" w:cs="Arial"/>
                <w:sz w:val="22"/>
                <w:szCs w:val="22"/>
                <w:lang w:eastAsia="en-US"/>
              </w:rPr>
            </w:pPr>
            <w:r>
              <w:rPr>
                <w:rFonts w:cs="Arial" w:ascii="Arial" w:hAnsi="Arial"/>
                <w:sz w:val="22"/>
                <w:szCs w:val="22"/>
                <w:lang w:eastAsia="en-US"/>
              </w:rPr>
              <w:t>Name and address of Subcontractor</w:t>
            </w:r>
          </w:p>
        </w:tc>
      </w:tr>
      <w:tr>
        <w:trPr>
          <w:trHeight w:val="360" w:hRule="atLeast"/>
        </w:trPr>
        <w:tc>
          <w:tcPr>
            <w:tcW w:w="4230" w:type="dxa"/>
            <w:tcBorders/>
            <w:shd w:color="auto" w:fill="auto" w:val="clear"/>
          </w:tcPr>
          <w:p>
            <w:pPr>
              <w:pStyle w:val="Normal"/>
              <w:widowControl w:val="false"/>
              <w:spacing w:before="60" w:after="60"/>
              <w:rPr>
                <w:rFonts w:ascii="Arial" w:hAnsi="Arial" w:cs="Arial"/>
                <w:sz w:val="22"/>
                <w:szCs w:val="22"/>
                <w:lang w:eastAsia="en-US"/>
              </w:rPr>
            </w:pPr>
            <w:r>
              <w:rPr>
                <w:rFonts w:cs="Arial" w:ascii="Arial" w:hAnsi="Arial"/>
                <w:sz w:val="22"/>
                <w:szCs w:val="22"/>
                <w:lang w:eastAsia="en-US"/>
              </w:rPr>
            </w:r>
          </w:p>
        </w:tc>
        <w:tc>
          <w:tcPr>
            <w:tcW w:w="3779" w:type="dxa"/>
            <w:tcBorders/>
            <w:shd w:color="auto" w:fill="auto" w:val="clear"/>
          </w:tcPr>
          <w:p>
            <w:pPr>
              <w:pStyle w:val="Normal"/>
              <w:widowControl w:val="false"/>
              <w:spacing w:before="60" w:after="60"/>
              <w:rPr>
                <w:rFonts w:ascii="Arial" w:hAnsi="Arial" w:cs="Arial"/>
                <w:sz w:val="22"/>
                <w:szCs w:val="22"/>
                <w:lang w:eastAsia="en-US"/>
              </w:rPr>
            </w:pPr>
            <w:r>
              <w:rPr>
                <w:rFonts w:cs="Arial" w:ascii="Arial" w:hAnsi="Arial"/>
                <w:sz w:val="22"/>
                <w:szCs w:val="22"/>
                <w:lang w:eastAsia="en-US"/>
              </w:rPr>
            </w:r>
          </w:p>
        </w:tc>
      </w:tr>
    </w:tbl>
    <w:p>
      <w:pPr>
        <w:pStyle w:val="Normal"/>
        <w:widowControl w:val="false"/>
        <w:numPr>
          <w:ilvl w:val="0"/>
          <w:numId w:val="53"/>
        </w:numPr>
        <w:tabs>
          <w:tab w:val="clear" w:pos="720"/>
          <w:tab w:val="left" w:pos="1242" w:leader="none"/>
        </w:tabs>
        <w:ind w:left="1260" w:hanging="540"/>
        <w:jc w:val="both"/>
        <w:rPr>
          <w:rFonts w:ascii="Arial" w:hAnsi="Arial" w:cs="Arial"/>
          <w:sz w:val="22"/>
          <w:szCs w:val="22"/>
        </w:rPr>
      </w:pPr>
      <w:r>
        <w:rPr>
          <w:rFonts w:cs="Arial" w:ascii="Arial" w:hAnsi="Arial"/>
          <w:sz w:val="22"/>
          <w:szCs w:val="22"/>
        </w:rPr>
        <w:t>we, confirm that we do not have a record of poor performance, such as abandoning the Supply, not properly completing contracts, inordinate delays, or financial failure as stated in ITT SubClause 5.8, and that we do not have, or have had, any litigation against us, other than that stated in the Tenderer Information Sheet(Form PG3-2);</w:t>
      </w:r>
    </w:p>
    <w:p>
      <w:pPr>
        <w:pStyle w:val="Normal"/>
        <w:ind w:left="720" w:hanging="0"/>
        <w:rPr>
          <w:rFonts w:ascii="Arial" w:hAnsi="Arial" w:cs="Arial"/>
          <w:sz w:val="21"/>
          <w:szCs w:val="21"/>
        </w:rPr>
      </w:pPr>
      <w:r>
        <w:rPr>
          <w:rFonts w:cs="Arial" w:ascii="Arial" w:hAnsi="Arial"/>
          <w:sz w:val="21"/>
          <w:szCs w:val="21"/>
        </w:rPr>
      </w:r>
    </w:p>
    <w:p>
      <w:pPr>
        <w:pStyle w:val="Normal"/>
        <w:widowControl w:val="false"/>
        <w:numPr>
          <w:ilvl w:val="0"/>
          <w:numId w:val="53"/>
        </w:numPr>
        <w:tabs>
          <w:tab w:val="clear" w:pos="720"/>
          <w:tab w:val="left" w:pos="1242" w:leader="none"/>
        </w:tabs>
        <w:ind w:left="1260" w:hanging="540"/>
        <w:jc w:val="both"/>
        <w:rPr>
          <w:rFonts w:ascii="Arial" w:hAnsi="Arial" w:cs="Arial"/>
          <w:sz w:val="22"/>
          <w:szCs w:val="22"/>
        </w:rPr>
      </w:pPr>
      <w:r>
        <w:rPr>
          <w:rFonts w:cs="Arial" w:ascii="Arial" w:hAnsi="Arial"/>
          <w:sz w:val="22"/>
          <w:szCs w:val="22"/>
        </w:rPr>
        <w:t>we are not participating as Tenderers in more than one Tender in this Tendering process. We understand that your written Notification of Award shall become a binding Contract between us, until a formal Contract is prepared and executed;</w:t>
      </w:r>
    </w:p>
    <w:p>
      <w:pPr>
        <w:pStyle w:val="Normal"/>
        <w:widowControl w:val="false"/>
        <w:jc w:val="both"/>
        <w:rPr>
          <w:rFonts w:ascii="Arial" w:hAnsi="Arial" w:cs="Arial"/>
          <w:sz w:val="22"/>
          <w:szCs w:val="22"/>
        </w:rPr>
      </w:pPr>
      <w:r>
        <w:rPr>
          <w:rFonts w:cs="Arial" w:ascii="Arial" w:hAnsi="Arial"/>
          <w:sz w:val="22"/>
          <w:szCs w:val="22"/>
        </w:rPr>
      </w:r>
    </w:p>
    <w:p>
      <w:pPr>
        <w:pStyle w:val="Normal"/>
        <w:widowControl w:val="false"/>
        <w:numPr>
          <w:ilvl w:val="0"/>
          <w:numId w:val="53"/>
        </w:numPr>
        <w:tabs>
          <w:tab w:val="clear" w:pos="720"/>
          <w:tab w:val="left" w:pos="1242" w:leader="none"/>
        </w:tabs>
        <w:ind w:left="1260" w:hanging="540"/>
        <w:jc w:val="both"/>
        <w:rPr>
          <w:rFonts w:ascii="Arial" w:hAnsi="Arial" w:cs="Arial"/>
          <w:sz w:val="22"/>
          <w:szCs w:val="22"/>
        </w:rPr>
      </w:pPr>
      <w:r>
        <w:rPr>
          <w:rFonts w:cs="Arial" w:ascii="Arial" w:hAnsi="Arial"/>
          <w:sz w:val="22"/>
          <w:szCs w:val="22"/>
        </w:rPr>
        <w:t>we understand that you reserve the right to accept or reject any Tender, to cancel the Tender proceedings, or to reject all Tenders, without incurring any liability to Tenderers, in accordance with ITT Clause 57.1.</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tbl>
      <w:tblPr>
        <w:tblW w:w="7560" w:type="dxa"/>
        <w:jc w:val="left"/>
        <w:tblInd w:w="1549" w:type="dxa"/>
        <w:tblLayout w:type="fixed"/>
        <w:tblCellMar>
          <w:top w:w="0" w:type="dxa"/>
          <w:left w:w="108" w:type="dxa"/>
          <w:bottom w:w="0" w:type="dxa"/>
          <w:right w:w="108" w:type="dxa"/>
        </w:tblCellMar>
        <w:tblLook w:val="0000" w:noHBand="0" w:noVBand="0" w:firstColumn="0" w:lastRow="0" w:lastColumn="0" w:firstRow="0"/>
      </w:tblPr>
      <w:tblGrid>
        <w:gridCol w:w="3073"/>
        <w:gridCol w:w="4486"/>
      </w:tblGrid>
      <w:tr>
        <w:trPr>
          <w:trHeight w:val="243" w:hRule="atLeast"/>
        </w:trPr>
        <w:tc>
          <w:tcPr>
            <w:tcW w:w="3073" w:type="dxa"/>
            <w:tcBorders>
              <w:right w:val="single" w:sz="4" w:space="0" w:color="000000"/>
            </w:tcBorders>
            <w:shd w:color="auto" w:fill="auto" w:val="clear"/>
          </w:tcPr>
          <w:p>
            <w:pPr>
              <w:pStyle w:val="Normal"/>
              <w:widowControl w:val="false"/>
              <w:spacing w:before="60" w:after="60"/>
              <w:rPr>
                <w:rFonts w:ascii="Arial" w:hAnsi="Arial" w:cs="Arial"/>
                <w:sz w:val="22"/>
                <w:szCs w:val="22"/>
                <w:lang w:eastAsia="en-US"/>
              </w:rPr>
            </w:pPr>
            <w:r>
              <w:rPr>
                <w:rFonts w:cs="Arial" w:ascii="Arial" w:hAnsi="Arial"/>
                <w:sz w:val="22"/>
                <w:szCs w:val="22"/>
                <w:lang w:eastAsia="en-US"/>
              </w:rPr>
              <w:t>Signature:</w:t>
            </w:r>
          </w:p>
        </w:tc>
        <w:tc>
          <w:tcPr>
            <w:tcW w:w="448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i/>
                <w:i/>
                <w:iCs/>
                <w:sz w:val="22"/>
                <w:szCs w:val="22"/>
                <w:lang w:eastAsia="en-US"/>
              </w:rPr>
            </w:pPr>
            <w:r>
              <w:rPr>
                <w:rFonts w:cs="Arial" w:ascii="Arial" w:hAnsi="Arial"/>
                <w:i/>
                <w:iCs/>
                <w:sz w:val="22"/>
                <w:szCs w:val="22"/>
                <w:lang w:eastAsia="en-US"/>
              </w:rPr>
              <w:t>[insert signature of authorised representative of the Tenderer]</w:t>
            </w:r>
          </w:p>
        </w:tc>
      </w:tr>
      <w:tr>
        <w:trPr>
          <w:trHeight w:val="243" w:hRule="atLeast"/>
        </w:trPr>
        <w:tc>
          <w:tcPr>
            <w:tcW w:w="3073" w:type="dxa"/>
            <w:tcBorders>
              <w:right w:val="single" w:sz="4" w:space="0" w:color="000000"/>
            </w:tcBorders>
            <w:shd w:color="auto" w:fill="auto" w:val="clear"/>
          </w:tcPr>
          <w:p>
            <w:pPr>
              <w:pStyle w:val="Normal"/>
              <w:widowControl w:val="false"/>
              <w:spacing w:before="60" w:after="60"/>
              <w:rPr>
                <w:rFonts w:ascii="Arial" w:hAnsi="Arial" w:cs="Arial"/>
                <w:sz w:val="22"/>
                <w:szCs w:val="22"/>
                <w:lang w:eastAsia="en-US"/>
              </w:rPr>
            </w:pPr>
            <w:r>
              <w:rPr>
                <w:rFonts w:cs="Arial" w:ascii="Arial" w:hAnsi="Arial"/>
                <w:sz w:val="22"/>
                <w:szCs w:val="22"/>
                <w:lang w:eastAsia="en-US"/>
              </w:rPr>
              <w:t>Name:</w:t>
            </w:r>
          </w:p>
        </w:tc>
        <w:tc>
          <w:tcPr>
            <w:tcW w:w="448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i/>
                <w:i/>
                <w:iCs/>
                <w:sz w:val="22"/>
                <w:szCs w:val="22"/>
                <w:lang w:eastAsia="en-US"/>
              </w:rPr>
            </w:pPr>
            <w:r>
              <w:rPr>
                <w:rFonts w:cs="Arial" w:ascii="Arial" w:hAnsi="Arial"/>
                <w:i/>
                <w:iCs/>
                <w:sz w:val="22"/>
                <w:szCs w:val="22"/>
                <w:lang w:eastAsia="en-US"/>
              </w:rPr>
              <w:t>[insert full name of signatory with National ID]</w:t>
            </w:r>
          </w:p>
        </w:tc>
      </w:tr>
      <w:tr>
        <w:trPr/>
        <w:tc>
          <w:tcPr>
            <w:tcW w:w="3073" w:type="dxa"/>
            <w:tcBorders>
              <w:right w:val="single" w:sz="4" w:space="0" w:color="000000"/>
            </w:tcBorders>
            <w:shd w:color="auto" w:fill="auto" w:val="clear"/>
          </w:tcPr>
          <w:p>
            <w:pPr>
              <w:pStyle w:val="Normal"/>
              <w:widowControl w:val="false"/>
              <w:spacing w:before="60" w:after="60"/>
              <w:rPr>
                <w:rFonts w:ascii="Arial" w:hAnsi="Arial" w:cs="Arial"/>
                <w:sz w:val="22"/>
                <w:szCs w:val="22"/>
                <w:lang w:eastAsia="en-US"/>
              </w:rPr>
            </w:pPr>
            <w:r>
              <w:rPr>
                <w:rFonts w:cs="Arial" w:ascii="Arial" w:hAnsi="Arial"/>
                <w:sz w:val="22"/>
                <w:szCs w:val="22"/>
                <w:lang w:eastAsia="en-US"/>
              </w:rPr>
              <w:t>In the capacity of:</w:t>
            </w:r>
          </w:p>
        </w:tc>
        <w:tc>
          <w:tcPr>
            <w:tcW w:w="448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i/>
                <w:i/>
                <w:iCs/>
                <w:sz w:val="22"/>
                <w:szCs w:val="22"/>
                <w:lang w:eastAsia="en-US"/>
              </w:rPr>
            </w:pPr>
            <w:r>
              <w:rPr>
                <w:rFonts w:cs="Arial" w:ascii="Arial" w:hAnsi="Arial"/>
                <w:i/>
                <w:iCs/>
                <w:sz w:val="22"/>
                <w:szCs w:val="22"/>
                <w:lang w:eastAsia="en-US"/>
              </w:rPr>
              <w:t>[insert designation of signatory]</w:t>
            </w:r>
          </w:p>
        </w:tc>
      </w:tr>
      <w:tr>
        <w:trPr/>
        <w:tc>
          <w:tcPr>
            <w:tcW w:w="7559" w:type="dxa"/>
            <w:gridSpan w:val="2"/>
            <w:tcBorders/>
            <w:shd w:color="auto" w:fill="auto" w:val="clear"/>
          </w:tcPr>
          <w:p>
            <w:pPr>
              <w:pStyle w:val="Normal"/>
              <w:widowControl w:val="false"/>
              <w:spacing w:before="60" w:after="60"/>
              <w:rPr>
                <w:rFonts w:ascii="Arial" w:hAnsi="Arial" w:cs="Arial"/>
                <w:sz w:val="22"/>
                <w:szCs w:val="22"/>
                <w:lang w:eastAsia="en-US"/>
              </w:rPr>
            </w:pPr>
            <w:r>
              <w:rPr>
                <w:rFonts w:cs="Arial" w:ascii="Arial" w:hAnsi="Arial"/>
                <w:sz w:val="22"/>
                <w:szCs w:val="22"/>
                <w:lang w:eastAsia="en-US"/>
              </w:rPr>
              <w:t>Duly authorised to sign the Tender for and on behalf of the Tenderer</w:t>
            </w:r>
          </w:p>
        </w:tc>
      </w:tr>
    </w:tbl>
    <w:p>
      <w:pPr>
        <w:pStyle w:val="Normal"/>
        <w:rPr>
          <w:rFonts w:ascii="Arial" w:hAnsi="Arial" w:cs="Arial"/>
          <w:sz w:val="22"/>
          <w:szCs w:val="22"/>
        </w:rPr>
      </w:pPr>
      <w:r>
        <w:rPr>
          <w:rFonts w:cs="Arial" w:ascii="Arial" w:hAnsi="Arial"/>
          <w:sz w:val="22"/>
          <w:szCs w:val="22"/>
        </w:rPr>
      </w:r>
    </w:p>
    <w:p>
      <w:pPr>
        <w:pStyle w:val="Normal"/>
        <w:rPr>
          <w:rFonts w:ascii="Arial" w:hAnsi="Arial" w:cs="Arial"/>
          <w:i/>
          <w:i/>
          <w:iCs/>
          <w:sz w:val="22"/>
          <w:szCs w:val="22"/>
        </w:rPr>
      </w:pPr>
      <w:r>
        <w:rPr>
          <w:rFonts w:cs="Arial" w:ascii="Arial" w:hAnsi="Arial"/>
          <w:i/>
          <w:iCs/>
          <w:sz w:val="22"/>
          <w:szCs w:val="22"/>
        </w:rPr>
        <w:t xml:space="preserve">                        </w:t>
      </w:r>
      <w:r>
        <w:rPr>
          <w:rFonts w:cs="Arial" w:ascii="Arial" w:hAnsi="Arial"/>
          <w:i/>
          <w:iCs/>
          <w:sz w:val="22"/>
          <w:szCs w:val="22"/>
        </w:rPr>
        <w:t>[If there is more than one (1) signatory add other boxes and sign accordingly].</w:t>
      </w:r>
    </w:p>
    <w:p>
      <w:pPr>
        <w:pStyle w:val="Normal"/>
        <w:rPr>
          <w:rFonts w:ascii="Arial" w:hAnsi="Arial" w:cs="Arial"/>
          <w:sz w:val="22"/>
          <w:szCs w:val="22"/>
        </w:rPr>
      </w:pPr>
      <w:r>
        <w:rPr>
          <w:rFonts w:cs="Arial" w:ascii="Arial" w:hAnsi="Arial"/>
          <w:sz w:val="22"/>
          <w:szCs w:val="22"/>
        </w:rPr>
      </w:r>
    </w:p>
    <w:p>
      <w:pPr>
        <w:pStyle w:val="Normal"/>
        <w:ind w:left="1470" w:hanging="1470"/>
        <w:rPr>
          <w:rFonts w:ascii="Arial" w:hAnsi="Arial" w:cs="Arial"/>
          <w:b/>
          <w:b/>
          <w:bCs/>
          <w:sz w:val="22"/>
          <w:szCs w:val="22"/>
        </w:rPr>
      </w:pPr>
      <w:r>
        <w:rPr>
          <w:rFonts w:cs="Arial" w:ascii="Arial" w:hAnsi="Arial"/>
          <w:b/>
          <w:bCs/>
          <w:sz w:val="22"/>
          <w:szCs w:val="22"/>
        </w:rPr>
      </w:r>
    </w:p>
    <w:p>
      <w:pPr>
        <w:pStyle w:val="Normal"/>
        <w:ind w:left="1470" w:hanging="1470"/>
        <w:rPr>
          <w:rFonts w:ascii="Arial" w:hAnsi="Arial" w:cs="Arial"/>
          <w:b/>
          <w:b/>
          <w:bCs/>
          <w:sz w:val="22"/>
          <w:szCs w:val="22"/>
        </w:rPr>
      </w:pPr>
      <w:r>
        <w:rPr>
          <w:rFonts w:cs="Arial" w:ascii="Arial" w:hAnsi="Arial"/>
          <w:b/>
          <w:bCs/>
          <w:sz w:val="22"/>
          <w:szCs w:val="22"/>
        </w:rPr>
      </w:r>
    </w:p>
    <w:p>
      <w:pPr>
        <w:pStyle w:val="Normal"/>
        <w:ind w:left="1470" w:hanging="1470"/>
        <w:rPr>
          <w:rFonts w:ascii="Arial" w:hAnsi="Arial" w:cs="Arial"/>
          <w:b/>
          <w:b/>
          <w:bCs/>
          <w:sz w:val="22"/>
          <w:szCs w:val="22"/>
        </w:rPr>
      </w:pPr>
      <w:r>
        <w:rPr>
          <w:rFonts w:cs="Arial" w:ascii="Arial" w:hAnsi="Arial"/>
          <w:b/>
          <w:bCs/>
          <w:sz w:val="22"/>
          <w:szCs w:val="22"/>
        </w:rPr>
      </w:r>
    </w:p>
    <w:p>
      <w:pPr>
        <w:pStyle w:val="Normal"/>
        <w:ind w:left="1470" w:hanging="1470"/>
        <w:rPr>
          <w:rFonts w:ascii="Arial" w:hAnsi="Arial" w:cs="Arial"/>
          <w:sz w:val="22"/>
          <w:szCs w:val="22"/>
        </w:rPr>
      </w:pPr>
      <w:r>
        <w:rPr>
          <w:rFonts w:cs="Arial" w:ascii="Arial" w:hAnsi="Arial"/>
          <w:b/>
          <w:bCs/>
          <w:sz w:val="22"/>
          <w:szCs w:val="22"/>
        </w:rPr>
        <w:t>Attachment 1</w:t>
      </w:r>
      <w:r>
        <w:rPr>
          <w:rFonts w:cs="Arial" w:ascii="Arial" w:hAnsi="Arial"/>
          <w:sz w:val="22"/>
          <w:szCs w:val="22"/>
        </w:rPr>
        <w:t>: Written confirmation authorising the above signatory(ies) to commit the Tenderer, in accordance with ITT Sub-Clause 36.3;</w:t>
      </w:r>
    </w:p>
    <w:p>
      <w:pPr>
        <w:pStyle w:val="Normal"/>
        <w:rPr>
          <w:rFonts w:ascii="Arial" w:hAnsi="Arial" w:cs="Arial"/>
          <w:sz w:val="21"/>
        </w:rPr>
      </w:pPr>
      <w:r>
        <w:rPr>
          <w:rFonts w:cs="Arial" w:ascii="Arial" w:hAnsi="Arial"/>
          <w:sz w:val="21"/>
        </w:rPr>
      </w:r>
    </w:p>
    <w:p>
      <w:pPr>
        <w:pStyle w:val="Heading2"/>
        <w:tabs>
          <w:tab w:val="left" w:pos="720" w:leader="none"/>
        </w:tabs>
        <w:rPr>
          <w:b w:val="false"/>
          <w:b w:val="false"/>
          <w:bCs w:val="false"/>
          <w:i/>
          <w:i/>
          <w:iCs w:val="false"/>
        </w:rPr>
      </w:pPr>
      <w:r>
        <w:rPr>
          <w:b w:val="false"/>
          <w:bCs w:val="false"/>
          <w:i/>
          <w:iCs w:val="false"/>
        </w:rPr>
      </w:r>
    </w:p>
    <w:p>
      <w:pPr>
        <w:pStyle w:val="Heading2"/>
        <w:tabs>
          <w:tab w:val="left" w:pos="720" w:leader="none"/>
        </w:tabs>
        <w:rPr>
          <w:b w:val="false"/>
          <w:b w:val="false"/>
          <w:bCs w:val="false"/>
          <w:i/>
          <w:i/>
          <w:iCs w:val="false"/>
        </w:rPr>
      </w:pPr>
      <w:r>
        <w:rPr>
          <w:b w:val="false"/>
          <w:bCs w:val="false"/>
          <w:i/>
          <w:iCs w:val="false"/>
        </w:rPr>
      </w:r>
    </w:p>
    <w:p>
      <w:pPr>
        <w:sectPr>
          <w:footerReference w:type="default" r:id="rId5"/>
          <w:type w:val="nextPage"/>
          <w:pgSz w:w="11906" w:h="16838"/>
          <w:pgMar w:left="1440" w:right="1440" w:gutter="0" w:header="0" w:top="1440" w:footer="720" w:bottom="1440"/>
          <w:pgNumType w:fmt="decimal"/>
          <w:formProt w:val="false"/>
          <w:textDirection w:val="lrTb"/>
          <w:docGrid w:type="default" w:linePitch="100" w:charSpace="0"/>
        </w:sectPr>
        <w:pStyle w:val="Heading2"/>
        <w:tabs>
          <w:tab w:val="left" w:pos="720" w:leader="none"/>
        </w:tabs>
        <w:rPr>
          <w:b w:val="false"/>
          <w:b w:val="false"/>
          <w:bCs w:val="false"/>
          <w:i/>
          <w:i/>
          <w:iCs w:val="false"/>
        </w:rPr>
      </w:pPr>
      <w:r>
        <w:rPr>
          <w:b w:val="false"/>
          <w:bCs w:val="false"/>
          <w:i/>
          <w:iCs w:val="false"/>
        </w:rPr>
      </w:r>
    </w:p>
    <w:p>
      <w:pPr>
        <w:pStyle w:val="Heading2"/>
        <w:rPr>
          <w:rFonts w:ascii="Arial" w:hAnsi="Arial"/>
          <w:lang w:val="en-GB"/>
        </w:rPr>
      </w:pPr>
      <w:bookmarkStart w:id="784" w:name="_Toc421454327"/>
      <w:r>
        <w:rPr>
          <w:rFonts w:ascii="Arial" w:hAnsi="Arial"/>
        </w:rPr>
        <w:t>T</w:t>
      </w:r>
      <w:r>
        <w:rPr>
          <w:rFonts w:ascii="Arial" w:hAnsi="Arial"/>
          <w:lang w:val="en-GB"/>
        </w:rPr>
        <w:t>enderer Information Sheet (Form PG3-2)</w:t>
      </w:r>
      <w:bookmarkEnd w:id="784"/>
    </w:p>
    <w:p>
      <w:pPr>
        <w:pStyle w:val="Normal"/>
        <w:rPr>
          <w:rFonts w:ascii="Arial" w:hAnsi="Arial" w:cs="Arial"/>
          <w:sz w:val="18"/>
          <w:szCs w:val="18"/>
          <w:lang w:val="en-GB"/>
        </w:rPr>
      </w:pPr>
      <w:r>
        <w:rPr>
          <w:rFonts w:cs="Arial" w:ascii="Arial" w:hAnsi="Arial"/>
          <w:sz w:val="18"/>
          <w:szCs w:val="18"/>
          <w:lang w:val="en-GB"/>
        </w:rPr>
      </w:r>
    </w:p>
    <w:p>
      <w:pPr>
        <w:pStyle w:val="Normal"/>
        <w:rPr>
          <w:rFonts w:ascii="Arial" w:hAnsi="Arial" w:cs="Arial"/>
          <w:sz w:val="18"/>
          <w:szCs w:val="18"/>
          <w:lang w:val="en-GB"/>
        </w:rPr>
      </w:pPr>
      <w:r>
        <w:rPr>
          <w:rFonts w:cs="Arial" w:ascii="Arial" w:hAnsi="Arial"/>
          <w:sz w:val="18"/>
          <w:szCs w:val="18"/>
          <w:lang w:val="en-GB"/>
        </w:rPr>
      </w:r>
    </w:p>
    <w:p>
      <w:pPr>
        <w:pStyle w:val="Normal"/>
        <w:rPr>
          <w:rFonts w:ascii="Arial" w:hAnsi="Arial" w:cs="Arial"/>
          <w:i/>
          <w:i/>
          <w:sz w:val="22"/>
          <w:szCs w:val="22"/>
          <w:lang w:val="en-GB"/>
        </w:rPr>
      </w:pPr>
      <w:r>
        <w:rPr>
          <w:rFonts w:cs="Arial" w:ascii="Arial" w:hAnsi="Arial"/>
          <w:i/>
          <w:sz w:val="22"/>
          <w:szCs w:val="22"/>
          <w:lang w:val="en-GB"/>
        </w:rPr>
        <w:t>[The Tenderer shall fill in this Form in accordance with the instructions indicated below. No alterations to its format shall be permitted and no substitutions shall be accepted]</w:t>
      </w:r>
    </w:p>
    <w:p>
      <w:pPr>
        <w:pStyle w:val="Normal"/>
        <w:rPr>
          <w:rFonts w:ascii="Arial" w:hAnsi="Arial" w:cs="Arial"/>
          <w:sz w:val="18"/>
          <w:szCs w:val="18"/>
          <w:lang w:val="en-GB"/>
        </w:rPr>
      </w:pPr>
      <w:r>
        <w:rPr>
          <w:rFonts w:cs="Arial" w:ascii="Arial" w:hAnsi="Arial"/>
          <w:sz w:val="18"/>
          <w:szCs w:val="18"/>
          <w:lang w:val="en-GB"/>
        </w:rPr>
      </w:r>
    </w:p>
    <w:p>
      <w:pPr>
        <w:pStyle w:val="Normal"/>
        <w:rPr>
          <w:rFonts w:ascii="Arial" w:hAnsi="Arial" w:cs="Arial"/>
          <w:lang w:val="en-GB"/>
        </w:rPr>
      </w:pPr>
      <w:r>
        <w:rPr>
          <w:rFonts w:cs="Arial" w:ascii="Arial" w:hAnsi="Arial"/>
          <w:lang w:val="en-GB"/>
        </w:rPr>
      </w:r>
    </w:p>
    <w:tbl>
      <w:tblPr>
        <w:tblW w:w="9000" w:type="dxa"/>
        <w:jc w:val="left"/>
        <w:tblInd w:w="109" w:type="dxa"/>
        <w:tblLayout w:type="fixed"/>
        <w:tblCellMar>
          <w:top w:w="0" w:type="dxa"/>
          <w:left w:w="108" w:type="dxa"/>
          <w:bottom w:w="0" w:type="dxa"/>
          <w:right w:w="108" w:type="dxa"/>
        </w:tblCellMar>
        <w:tblLook w:val="01e0" w:noHBand="0" w:noVBand="0" w:firstColumn="1" w:lastRow="1" w:lastColumn="1" w:firstRow="1"/>
      </w:tblPr>
      <w:tblGrid>
        <w:gridCol w:w="2700"/>
        <w:gridCol w:w="3194"/>
        <w:gridCol w:w="1065"/>
        <w:gridCol w:w="2040"/>
      </w:tblGrid>
      <w:tr>
        <w:trPr/>
        <w:tc>
          <w:tcPr>
            <w:tcW w:w="2700" w:type="dxa"/>
            <w:tcBorders/>
          </w:tcPr>
          <w:p>
            <w:pPr>
              <w:pStyle w:val="Normal"/>
              <w:widowControl w:val="false"/>
              <w:rPr>
                <w:rFonts w:ascii="Arial" w:hAnsi="Arial" w:cs="Arial"/>
                <w:sz w:val="22"/>
                <w:szCs w:val="22"/>
                <w:lang w:val="en-GB"/>
              </w:rPr>
            </w:pPr>
            <w:r>
              <w:rPr>
                <w:rFonts w:cs="Arial" w:ascii="Arial" w:hAnsi="Arial"/>
                <w:sz w:val="22"/>
                <w:szCs w:val="22"/>
                <w:lang w:val="en-GB"/>
              </w:rPr>
              <w:t>Invitation for Tender No:</w:t>
            </w:r>
          </w:p>
        </w:tc>
        <w:tc>
          <w:tcPr>
            <w:tcW w:w="3194" w:type="dxa"/>
            <w:tcBorders/>
          </w:tcPr>
          <w:p>
            <w:pPr>
              <w:pStyle w:val="Normal"/>
              <w:widowControl w:val="false"/>
              <w:rPr>
                <w:rFonts w:ascii="Arial" w:hAnsi="Arial" w:cs="Arial"/>
                <w:i/>
                <w:i/>
                <w:sz w:val="22"/>
                <w:szCs w:val="22"/>
                <w:lang w:val="en-GB"/>
              </w:rPr>
            </w:pPr>
            <w:r>
              <w:rPr>
                <w:rFonts w:cs="Arial" w:ascii="Arial" w:hAnsi="Arial"/>
                <w:i/>
                <w:sz w:val="22"/>
                <w:szCs w:val="22"/>
                <w:lang w:val="en-GB"/>
              </w:rPr>
              <w:t>[ IFT No]</w:t>
            </w:r>
          </w:p>
        </w:tc>
        <w:tc>
          <w:tcPr>
            <w:tcW w:w="1065" w:type="dxa"/>
            <w:tcBorders/>
          </w:tcPr>
          <w:p>
            <w:pPr>
              <w:pStyle w:val="Normal"/>
              <w:widowControl w:val="false"/>
              <w:rPr>
                <w:rFonts w:ascii="Arial" w:hAnsi="Arial" w:cs="Arial"/>
                <w:sz w:val="22"/>
                <w:szCs w:val="22"/>
                <w:lang w:val="en-GB"/>
              </w:rPr>
            </w:pPr>
            <w:r>
              <w:rPr>
                <w:rFonts w:cs="Arial" w:ascii="Arial" w:hAnsi="Arial"/>
                <w:sz w:val="22"/>
                <w:szCs w:val="22"/>
                <w:lang w:val="en-GB"/>
              </w:rPr>
              <w:t>Date</w:t>
            </w:r>
          </w:p>
        </w:tc>
        <w:tc>
          <w:tcPr>
            <w:tcW w:w="2040" w:type="dxa"/>
            <w:tcBorders/>
          </w:tcPr>
          <w:p>
            <w:pPr>
              <w:pStyle w:val="Normal"/>
              <w:widowControl w:val="false"/>
              <w:rPr>
                <w:rFonts w:ascii="Arial" w:hAnsi="Arial" w:cs="Arial"/>
                <w:i/>
                <w:i/>
                <w:sz w:val="22"/>
                <w:szCs w:val="22"/>
                <w:lang w:val="en-GB"/>
              </w:rPr>
            </w:pPr>
            <w:r>
              <w:rPr>
                <w:rFonts w:cs="Arial" w:ascii="Arial" w:hAnsi="Arial"/>
                <w:i/>
                <w:sz w:val="22"/>
                <w:szCs w:val="22"/>
                <w:lang w:val="en-GB"/>
              </w:rPr>
              <w:t>[Insert date of Tender Submission]</w:t>
            </w:r>
          </w:p>
        </w:tc>
      </w:tr>
      <w:tr>
        <w:trPr/>
        <w:tc>
          <w:tcPr>
            <w:tcW w:w="2700" w:type="dxa"/>
            <w:tcBorders/>
          </w:tcPr>
          <w:p>
            <w:pPr>
              <w:pStyle w:val="Normal"/>
              <w:widowControl w:val="false"/>
              <w:rPr>
                <w:rFonts w:ascii="Arial" w:hAnsi="Arial" w:cs="Arial"/>
                <w:sz w:val="22"/>
                <w:szCs w:val="22"/>
                <w:lang w:val="en-GB"/>
              </w:rPr>
            </w:pPr>
            <w:r>
              <w:rPr>
                <w:rFonts w:cs="Arial" w:ascii="Arial" w:hAnsi="Arial"/>
                <w:sz w:val="22"/>
                <w:szCs w:val="22"/>
                <w:lang w:val="en-GB"/>
              </w:rPr>
              <w:t>Tender Package No:</w:t>
            </w:r>
          </w:p>
        </w:tc>
        <w:tc>
          <w:tcPr>
            <w:tcW w:w="3194" w:type="dxa"/>
            <w:tcBorders/>
          </w:tcPr>
          <w:p>
            <w:pPr>
              <w:pStyle w:val="Normal"/>
              <w:widowControl w:val="false"/>
              <w:rPr>
                <w:rFonts w:ascii="Arial" w:hAnsi="Arial" w:cs="Arial"/>
                <w:sz w:val="22"/>
                <w:szCs w:val="22"/>
                <w:lang w:val="en-GB"/>
              </w:rPr>
            </w:pPr>
            <w:r>
              <w:rPr>
                <w:rFonts w:cs="Arial" w:ascii="Arial" w:hAnsi="Arial"/>
                <w:i/>
                <w:sz w:val="22"/>
                <w:szCs w:val="22"/>
                <w:lang w:val="en-GB"/>
              </w:rPr>
              <w:t>[Package No]</w:t>
            </w:r>
          </w:p>
        </w:tc>
        <w:tc>
          <w:tcPr>
            <w:tcW w:w="1065" w:type="dxa"/>
            <w:tcBorders/>
          </w:tcPr>
          <w:p>
            <w:pPr>
              <w:pStyle w:val="Normal"/>
              <w:widowControl w:val="false"/>
              <w:rPr>
                <w:rFonts w:ascii="Arial" w:hAnsi="Arial" w:cs="Arial"/>
                <w:sz w:val="22"/>
                <w:szCs w:val="22"/>
                <w:lang w:val="en-GB"/>
              </w:rPr>
            </w:pPr>
            <w:r>
              <w:rPr>
                <w:rFonts w:cs="Arial" w:ascii="Arial" w:hAnsi="Arial"/>
                <w:sz w:val="22"/>
                <w:szCs w:val="22"/>
                <w:lang w:val="en-GB"/>
              </w:rPr>
            </w:r>
          </w:p>
        </w:tc>
        <w:tc>
          <w:tcPr>
            <w:tcW w:w="2040" w:type="dxa"/>
            <w:tcBorders/>
          </w:tcPr>
          <w:p>
            <w:pPr>
              <w:pStyle w:val="Normal"/>
              <w:widowControl w:val="false"/>
              <w:rPr>
                <w:rFonts w:ascii="Arial" w:hAnsi="Arial" w:cs="Arial"/>
                <w:sz w:val="22"/>
                <w:szCs w:val="22"/>
                <w:lang w:val="en-GB"/>
              </w:rPr>
            </w:pPr>
            <w:r>
              <w:rPr>
                <w:rFonts w:cs="Arial" w:ascii="Arial" w:hAnsi="Arial"/>
                <w:sz w:val="22"/>
                <w:szCs w:val="22"/>
                <w:lang w:val="en-GB"/>
              </w:rPr>
            </w:r>
          </w:p>
        </w:tc>
      </w:tr>
      <w:tr>
        <w:trPr/>
        <w:tc>
          <w:tcPr>
            <w:tcW w:w="2700" w:type="dxa"/>
            <w:tcBorders/>
          </w:tcPr>
          <w:p>
            <w:pPr>
              <w:pStyle w:val="Normal"/>
              <w:widowControl w:val="false"/>
              <w:rPr>
                <w:rFonts w:ascii="Arial" w:hAnsi="Arial" w:cs="Arial"/>
                <w:sz w:val="22"/>
                <w:szCs w:val="22"/>
                <w:lang w:val="en-GB"/>
              </w:rPr>
            </w:pPr>
            <w:r>
              <w:rPr>
                <w:rFonts w:cs="Arial" w:ascii="Arial" w:hAnsi="Arial"/>
                <w:sz w:val="22"/>
                <w:szCs w:val="22"/>
                <w:lang w:val="en-GB"/>
              </w:rPr>
              <w:t xml:space="preserve">Lot No. </w:t>
            </w:r>
            <w:r>
              <w:rPr>
                <w:rFonts w:cs="Arial" w:ascii="Arial" w:hAnsi="Arial"/>
                <w:i/>
                <w:sz w:val="18"/>
                <w:szCs w:val="18"/>
                <w:lang w:val="en-GB"/>
              </w:rPr>
              <w:t>(when applicable)</w:t>
            </w:r>
          </w:p>
        </w:tc>
        <w:tc>
          <w:tcPr>
            <w:tcW w:w="3194" w:type="dxa"/>
            <w:tcBorders/>
          </w:tcPr>
          <w:p>
            <w:pPr>
              <w:pStyle w:val="Normal"/>
              <w:widowControl w:val="false"/>
              <w:rPr>
                <w:rFonts w:ascii="Arial" w:hAnsi="Arial" w:cs="Arial"/>
                <w:i/>
                <w:i/>
                <w:sz w:val="22"/>
                <w:szCs w:val="22"/>
                <w:lang w:val="en-GB"/>
              </w:rPr>
            </w:pPr>
            <w:r>
              <w:rPr>
                <w:rFonts w:cs="Arial" w:ascii="Arial" w:hAnsi="Arial"/>
                <w:i/>
                <w:sz w:val="22"/>
                <w:szCs w:val="22"/>
                <w:lang w:val="en-GB"/>
              </w:rPr>
              <w:t>[Lot No ]</w:t>
            </w:r>
          </w:p>
        </w:tc>
        <w:tc>
          <w:tcPr>
            <w:tcW w:w="1065" w:type="dxa"/>
            <w:tcBorders/>
          </w:tcPr>
          <w:p>
            <w:pPr>
              <w:pStyle w:val="Normal"/>
              <w:widowControl w:val="false"/>
              <w:rPr>
                <w:rFonts w:ascii="Arial" w:hAnsi="Arial" w:cs="Arial"/>
                <w:sz w:val="22"/>
                <w:szCs w:val="22"/>
                <w:lang w:val="en-GB"/>
              </w:rPr>
            </w:pPr>
            <w:r>
              <w:rPr>
                <w:rFonts w:cs="Arial" w:ascii="Arial" w:hAnsi="Arial"/>
                <w:sz w:val="22"/>
                <w:szCs w:val="22"/>
                <w:lang w:val="en-GB"/>
              </w:rPr>
            </w:r>
          </w:p>
        </w:tc>
        <w:tc>
          <w:tcPr>
            <w:tcW w:w="2040" w:type="dxa"/>
            <w:tcBorders/>
          </w:tcPr>
          <w:p>
            <w:pPr>
              <w:pStyle w:val="Normal"/>
              <w:widowControl w:val="false"/>
              <w:rPr>
                <w:rFonts w:ascii="Arial" w:hAnsi="Arial" w:cs="Arial"/>
                <w:sz w:val="22"/>
                <w:szCs w:val="22"/>
                <w:lang w:val="en-GB"/>
              </w:rPr>
            </w:pPr>
            <w:r>
              <w:rPr>
                <w:rFonts w:cs="Arial" w:ascii="Arial" w:hAnsi="Arial"/>
                <w:sz w:val="22"/>
                <w:szCs w:val="22"/>
                <w:lang w:val="en-GB"/>
              </w:rPr>
            </w:r>
            <w:bookmarkStart w:id="785" w:name="OLE_LINK1"/>
            <w:bookmarkStart w:id="786" w:name="OLE_LINK2"/>
            <w:bookmarkStart w:id="787" w:name="OLE_LINK1"/>
            <w:bookmarkStart w:id="788" w:name="OLE_LINK2"/>
            <w:bookmarkEnd w:id="787"/>
            <w:bookmarkEnd w:id="788"/>
          </w:p>
        </w:tc>
      </w:tr>
    </w:tbl>
    <w:p>
      <w:pPr>
        <w:pStyle w:val="Normal"/>
        <w:rPr>
          <w:rFonts w:ascii="Arial" w:hAnsi="Arial" w:cs="Arial"/>
          <w:lang w:val="en-GB"/>
        </w:rPr>
      </w:pPr>
      <w:r>
        <w:rPr>
          <w:rFonts w:cs="Arial" w:ascii="Arial" w:hAnsi="Arial"/>
          <w:lang w:val="en-GB"/>
        </w:rPr>
      </w:r>
    </w:p>
    <w:tbl>
      <w:tblPr>
        <w:tblW w:w="9000"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603"/>
        <w:gridCol w:w="117"/>
        <w:gridCol w:w="710"/>
        <w:gridCol w:w="15"/>
        <w:gridCol w:w="1678"/>
        <w:gridCol w:w="837"/>
        <w:gridCol w:w="141"/>
        <w:gridCol w:w="309"/>
        <w:gridCol w:w="9"/>
        <w:gridCol w:w="811"/>
        <w:gridCol w:w="50"/>
        <w:gridCol w:w="1380"/>
        <w:gridCol w:w="2340"/>
      </w:tblGrid>
      <w:tr>
        <w:trPr>
          <w:trHeight w:val="487" w:hRule="exact"/>
          <w:cantSplit w:val="true"/>
        </w:trPr>
        <w:tc>
          <w:tcPr>
            <w:tcW w:w="9000" w:type="dxa"/>
            <w:gridSpan w:val="13"/>
            <w:tcBorders>
              <w:top w:val="single" w:sz="4" w:space="0" w:color="000000"/>
              <w:left w:val="single" w:sz="4" w:space="0" w:color="000000"/>
              <w:right w:val="single" w:sz="4" w:space="0" w:color="000000"/>
            </w:tcBorders>
          </w:tcPr>
          <w:p>
            <w:pPr>
              <w:pStyle w:val="Normal"/>
              <w:widowControl w:val="false"/>
              <w:suppressAutoHyphens w:val="true"/>
              <w:spacing w:before="120" w:after="120"/>
              <w:rPr>
                <w:rFonts w:ascii="Arial" w:hAnsi="Arial" w:cs="Arial"/>
                <w:b/>
                <w:b/>
                <w:bCs/>
                <w:i/>
                <w:i/>
                <w:iCs/>
                <w:spacing w:val="-2"/>
                <w:sz w:val="22"/>
                <w:szCs w:val="22"/>
                <w:lang w:val="en-GB"/>
              </w:rPr>
            </w:pPr>
            <w:r>
              <w:rPr>
                <w:rFonts w:cs="Arial" w:ascii="Arial" w:hAnsi="Arial"/>
                <w:b/>
                <w:bCs/>
                <w:i/>
                <w:iCs/>
                <w:spacing w:val="-2"/>
                <w:sz w:val="22"/>
                <w:szCs w:val="22"/>
                <w:lang w:val="en-GB"/>
              </w:rPr>
              <w:t>1.</w:t>
              <w:tab/>
              <w:t>Eligibility Information of the Tenderer [ITT Clauses 5 &amp; 26]</w:t>
            </w:r>
          </w:p>
        </w:tc>
      </w:tr>
      <w:tr>
        <w:trPr>
          <w:trHeight w:val="487" w:hRule="exact"/>
          <w:cantSplit w:val="true"/>
        </w:trPr>
        <w:tc>
          <w:tcPr>
            <w:tcW w:w="720" w:type="dxa"/>
            <w:gridSpan w:val="2"/>
            <w:tcBorders>
              <w:top w:val="single" w:sz="4" w:space="0" w:color="000000"/>
              <w:left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t>1.1</w:t>
            </w:r>
          </w:p>
        </w:tc>
        <w:tc>
          <w:tcPr>
            <w:tcW w:w="3699" w:type="dxa"/>
            <w:gridSpan w:val="7"/>
            <w:tcBorders>
              <w:top w:val="single" w:sz="4" w:space="0" w:color="000000"/>
              <w:left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rPr>
              <w:t>Tenderer’s Legal Name:</w:t>
            </w:r>
          </w:p>
        </w:tc>
        <w:tc>
          <w:tcPr>
            <w:tcW w:w="4581" w:type="dxa"/>
            <w:gridSpan w:val="4"/>
            <w:tcBorders>
              <w:top w:val="single" w:sz="4" w:space="0" w:color="000000"/>
              <w:left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r>
      <w:tr>
        <w:trPr>
          <w:trHeight w:val="712" w:hRule="exact"/>
          <w:cantSplit w:val="true"/>
        </w:trPr>
        <w:tc>
          <w:tcPr>
            <w:tcW w:w="720" w:type="dxa"/>
            <w:gridSpan w:val="2"/>
            <w:tcBorders>
              <w:top w:val="single" w:sz="4" w:space="0" w:color="000000"/>
              <w:left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t>1.2</w:t>
            </w:r>
          </w:p>
        </w:tc>
        <w:tc>
          <w:tcPr>
            <w:tcW w:w="3699" w:type="dxa"/>
            <w:gridSpan w:val="7"/>
            <w:tcBorders>
              <w:top w:val="single" w:sz="4" w:space="0" w:color="000000"/>
              <w:left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rPr>
              <w:t>Tenderer’s legal address in Country of Registration</w:t>
            </w:r>
          </w:p>
        </w:tc>
        <w:tc>
          <w:tcPr>
            <w:tcW w:w="4581" w:type="dxa"/>
            <w:gridSpan w:val="4"/>
            <w:tcBorders>
              <w:top w:val="single" w:sz="4" w:space="0" w:color="000000"/>
              <w:left w:val="single" w:sz="4" w:space="0" w:color="000000"/>
              <w:right w:val="single" w:sz="4" w:space="0" w:color="000000"/>
            </w:tcBorders>
          </w:tcPr>
          <w:p>
            <w:pPr>
              <w:pStyle w:val="Normal"/>
              <w:widowControl w:val="false"/>
              <w:spacing w:before="120" w:after="120"/>
              <w:rPr>
                <w:rFonts w:ascii="Arial" w:hAnsi="Arial" w:cs="Arial"/>
                <w:sz w:val="22"/>
                <w:szCs w:val="22"/>
                <w:lang w:val="en-GB"/>
              </w:rPr>
            </w:pPr>
            <w:r>
              <w:rPr>
                <w:rFonts w:cs="Arial" w:ascii="Arial" w:hAnsi="Arial"/>
                <w:sz w:val="22"/>
                <w:szCs w:val="22"/>
                <w:lang w:val="en-GB"/>
              </w:rPr>
            </w:r>
          </w:p>
        </w:tc>
      </w:tr>
      <w:tr>
        <w:trPr>
          <w:trHeight w:val="487" w:hRule="exact"/>
          <w:cantSplit w:val="true"/>
        </w:trPr>
        <w:tc>
          <w:tcPr>
            <w:tcW w:w="720" w:type="dxa"/>
            <w:gridSpan w:val="2"/>
            <w:tcBorders>
              <w:top w:val="single" w:sz="4" w:space="0" w:color="000000"/>
              <w:left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t>1.4</w:t>
            </w:r>
          </w:p>
        </w:tc>
        <w:tc>
          <w:tcPr>
            <w:tcW w:w="3699" w:type="dxa"/>
            <w:gridSpan w:val="7"/>
            <w:tcBorders>
              <w:top w:val="single" w:sz="4" w:space="0" w:color="000000"/>
              <w:left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rPr>
              <w:t>Tenderer’s Year of Registration</w:t>
            </w:r>
          </w:p>
        </w:tc>
        <w:tc>
          <w:tcPr>
            <w:tcW w:w="4581" w:type="dxa"/>
            <w:gridSpan w:val="4"/>
            <w:tcBorders>
              <w:top w:val="single" w:sz="4" w:space="0" w:color="000000"/>
              <w:left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r>
      <w:tr>
        <w:trPr/>
        <w:tc>
          <w:tcPr>
            <w:tcW w:w="72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t>1.5</w:t>
            </w:r>
          </w:p>
        </w:tc>
        <w:tc>
          <w:tcPr>
            <w:tcW w:w="8280" w:type="dxa"/>
            <w:gridSpan w:val="11"/>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t>Tenderer’s legal status [complete the relevant box]</w:t>
            </w:r>
          </w:p>
        </w:tc>
      </w:tr>
      <w:tr>
        <w:trPr/>
        <w:tc>
          <w:tcPr>
            <w:tcW w:w="72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3690"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t>Proprietorship</w:t>
            </w:r>
          </w:p>
        </w:tc>
        <w:tc>
          <w:tcPr>
            <w:tcW w:w="459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r>
      <w:tr>
        <w:trPr>
          <w:trHeight w:val="323" w:hRule="atLeast"/>
        </w:trPr>
        <w:tc>
          <w:tcPr>
            <w:tcW w:w="72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3690"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t>Partnership</w:t>
            </w:r>
          </w:p>
        </w:tc>
        <w:tc>
          <w:tcPr>
            <w:tcW w:w="4590" w:type="dxa"/>
            <w:gridSpan w:val="5"/>
            <w:tcBorders>
              <w:top w:val="single" w:sz="4" w:space="0" w:color="000000"/>
              <w:left w:val="single" w:sz="4" w:space="0" w:color="000000"/>
              <w:bottom w:val="single" w:sz="4" w:space="0" w:color="000000"/>
              <w:right w:val="single" w:sz="4" w:space="0" w:color="000000"/>
            </w:tcBorders>
          </w:tcPr>
          <w:p>
            <w:pPr>
              <w:pStyle w:val="Document1"/>
              <w:keepNext w:val="false"/>
              <w:keepLines w:val="false"/>
              <w:widowControl w:val="false"/>
              <w:tabs>
                <w:tab w:val="clear" w:pos="-720"/>
              </w:tabs>
              <w:suppressAutoHyphens w:val="false"/>
              <w:overflowPunct w:val="true"/>
              <w:spacing w:before="60" w:after="60"/>
              <w:textAlignment w:val="auto"/>
              <w:rPr>
                <w:rFonts w:ascii="Arial" w:hAnsi="Arial" w:eastAsia="SimSun" w:cs="Arial"/>
                <w:sz w:val="22"/>
                <w:szCs w:val="22"/>
                <w:lang w:val="en-GB"/>
              </w:rPr>
            </w:pPr>
            <w:r>
              <w:rPr>
                <w:rFonts w:eastAsia="SimSun" w:cs="Arial" w:ascii="Arial" w:hAnsi="Arial"/>
                <w:sz w:val="22"/>
                <w:szCs w:val="22"/>
                <w:lang w:val="en-GB"/>
              </w:rPr>
            </w:r>
          </w:p>
        </w:tc>
      </w:tr>
      <w:tr>
        <w:trPr/>
        <w:tc>
          <w:tcPr>
            <w:tcW w:w="72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3690"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t>Limited Liability Concern</w:t>
            </w:r>
          </w:p>
        </w:tc>
        <w:tc>
          <w:tcPr>
            <w:tcW w:w="459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r>
      <w:tr>
        <w:trPr>
          <w:trHeight w:val="458" w:hRule="atLeast"/>
        </w:trPr>
        <w:tc>
          <w:tcPr>
            <w:tcW w:w="72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3690"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t>Government-owned Enterprise</w:t>
            </w:r>
          </w:p>
        </w:tc>
        <w:tc>
          <w:tcPr>
            <w:tcW w:w="459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r>
      <w:tr>
        <w:trPr/>
        <w:tc>
          <w:tcPr>
            <w:tcW w:w="72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3690"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t>Others</w:t>
            </w:r>
          </w:p>
          <w:p>
            <w:pPr>
              <w:pStyle w:val="Normal"/>
              <w:widowControl w:val="false"/>
              <w:spacing w:before="60" w:after="60"/>
              <w:rPr>
                <w:rFonts w:ascii="Arial" w:hAnsi="Arial" w:cs="Arial"/>
                <w:sz w:val="22"/>
                <w:szCs w:val="22"/>
              </w:rPr>
            </w:pPr>
            <w:r>
              <w:rPr>
                <w:rFonts w:cs="Arial" w:ascii="Arial" w:hAnsi="Arial"/>
                <w:sz w:val="22"/>
                <w:szCs w:val="22"/>
              </w:rPr>
              <w:t>[please describe, if applicable]</w:t>
            </w:r>
          </w:p>
        </w:tc>
        <w:tc>
          <w:tcPr>
            <w:tcW w:w="459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r>
      <w:tr>
        <w:trPr>
          <w:trHeight w:val="640" w:hRule="exact"/>
          <w:cantSplit w:val="true"/>
        </w:trPr>
        <w:tc>
          <w:tcPr>
            <w:tcW w:w="72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t>1.6</w:t>
            </w:r>
          </w:p>
        </w:tc>
        <w:tc>
          <w:tcPr>
            <w:tcW w:w="3690"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t>Tenderer’s Authorised Representative Information</w:t>
            </w:r>
          </w:p>
        </w:tc>
        <w:tc>
          <w:tcPr>
            <w:tcW w:w="459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rPr>
                <w:rFonts w:ascii="Arial" w:hAnsi="Arial" w:cs="Arial"/>
                <w:sz w:val="22"/>
                <w:szCs w:val="22"/>
                <w:lang w:val="en-GB"/>
              </w:rPr>
            </w:pPr>
            <w:r>
              <w:rPr>
                <w:rFonts w:cs="Arial" w:ascii="Arial" w:hAnsi="Arial"/>
                <w:sz w:val="22"/>
                <w:szCs w:val="22"/>
                <w:lang w:val="en-GB"/>
              </w:rPr>
            </w:r>
          </w:p>
        </w:tc>
      </w:tr>
      <w:tr>
        <w:trPr>
          <w:trHeight w:val="487" w:hRule="exact"/>
          <w:cantSplit w:val="true"/>
        </w:trPr>
        <w:tc>
          <w:tcPr>
            <w:tcW w:w="72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3690"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t>Name</w:t>
            </w:r>
          </w:p>
        </w:tc>
        <w:tc>
          <w:tcPr>
            <w:tcW w:w="459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rPr>
                <w:rFonts w:ascii="Arial" w:hAnsi="Arial" w:cs="Arial"/>
                <w:sz w:val="22"/>
                <w:szCs w:val="22"/>
                <w:lang w:val="en-GB"/>
              </w:rPr>
            </w:pPr>
            <w:r>
              <w:rPr>
                <w:rFonts w:cs="Arial" w:ascii="Arial" w:hAnsi="Arial"/>
                <w:sz w:val="22"/>
                <w:szCs w:val="22"/>
                <w:lang w:val="en-GB"/>
              </w:rPr>
            </w:r>
          </w:p>
        </w:tc>
      </w:tr>
      <w:tr>
        <w:trPr>
          <w:trHeight w:val="487" w:hRule="exact"/>
          <w:cantSplit w:val="true"/>
        </w:trPr>
        <w:tc>
          <w:tcPr>
            <w:tcW w:w="72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3690"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t>National ID number</w:t>
            </w:r>
          </w:p>
        </w:tc>
        <w:tc>
          <w:tcPr>
            <w:tcW w:w="459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rPr>
                <w:rFonts w:ascii="Arial" w:hAnsi="Arial" w:cs="Arial"/>
                <w:sz w:val="22"/>
                <w:szCs w:val="22"/>
                <w:lang w:val="en-GB"/>
              </w:rPr>
            </w:pPr>
            <w:r>
              <w:rPr>
                <w:rFonts w:cs="Arial" w:ascii="Arial" w:hAnsi="Arial"/>
                <w:sz w:val="22"/>
                <w:szCs w:val="22"/>
                <w:lang w:val="en-GB"/>
              </w:rPr>
            </w:r>
          </w:p>
        </w:tc>
      </w:tr>
      <w:tr>
        <w:trPr>
          <w:trHeight w:val="487" w:hRule="exact"/>
          <w:cantSplit w:val="true"/>
        </w:trPr>
        <w:tc>
          <w:tcPr>
            <w:tcW w:w="72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3690"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t>Address</w:t>
            </w:r>
          </w:p>
        </w:tc>
        <w:tc>
          <w:tcPr>
            <w:tcW w:w="459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rPr>
                <w:rFonts w:ascii="Arial" w:hAnsi="Arial" w:cs="Arial"/>
                <w:sz w:val="22"/>
                <w:szCs w:val="22"/>
                <w:lang w:val="en-GB"/>
              </w:rPr>
            </w:pPr>
            <w:r>
              <w:rPr>
                <w:rFonts w:cs="Arial" w:ascii="Arial" w:hAnsi="Arial"/>
                <w:sz w:val="22"/>
                <w:szCs w:val="22"/>
                <w:lang w:val="en-GB"/>
              </w:rPr>
            </w:r>
          </w:p>
        </w:tc>
      </w:tr>
      <w:tr>
        <w:trPr>
          <w:trHeight w:val="487" w:hRule="exact"/>
          <w:cantSplit w:val="true"/>
        </w:trPr>
        <w:tc>
          <w:tcPr>
            <w:tcW w:w="72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3690"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t>Telephone / Fax Numbers</w:t>
            </w:r>
          </w:p>
        </w:tc>
        <w:tc>
          <w:tcPr>
            <w:tcW w:w="459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rPr>
                <w:rFonts w:ascii="Arial" w:hAnsi="Arial" w:cs="Arial"/>
                <w:sz w:val="22"/>
                <w:szCs w:val="22"/>
                <w:lang w:val="en-GB"/>
              </w:rPr>
            </w:pPr>
            <w:r>
              <w:rPr>
                <w:rFonts w:cs="Arial" w:ascii="Arial" w:hAnsi="Arial"/>
                <w:sz w:val="22"/>
                <w:szCs w:val="22"/>
                <w:lang w:val="en-GB"/>
              </w:rPr>
            </w:r>
          </w:p>
        </w:tc>
      </w:tr>
      <w:tr>
        <w:trPr>
          <w:trHeight w:val="487" w:hRule="exact"/>
          <w:cantSplit w:val="true"/>
        </w:trPr>
        <w:tc>
          <w:tcPr>
            <w:tcW w:w="72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3690"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t>e-mail address</w:t>
            </w:r>
          </w:p>
        </w:tc>
        <w:tc>
          <w:tcPr>
            <w:tcW w:w="459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rPr>
                <w:rFonts w:ascii="Arial" w:hAnsi="Arial" w:cs="Arial"/>
                <w:sz w:val="22"/>
                <w:szCs w:val="22"/>
                <w:lang w:val="en-GB"/>
              </w:rPr>
            </w:pPr>
            <w:r>
              <w:rPr>
                <w:rFonts w:cs="Arial" w:ascii="Arial" w:hAnsi="Arial"/>
                <w:sz w:val="22"/>
                <w:szCs w:val="22"/>
                <w:lang w:val="en-GB"/>
              </w:rPr>
            </w:r>
          </w:p>
        </w:tc>
      </w:tr>
      <w:tr>
        <w:trPr>
          <w:trHeight w:val="487" w:hRule="exact"/>
          <w:cantSplit w:val="true"/>
        </w:trPr>
        <w:tc>
          <w:tcPr>
            <w:tcW w:w="72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t>1.7</w:t>
            </w:r>
          </w:p>
        </w:tc>
        <w:tc>
          <w:tcPr>
            <w:tcW w:w="8280" w:type="dxa"/>
            <w:gridSpan w:val="11"/>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rPr>
              <w:t>Litigation [ITT Cause 13]</w:t>
            </w:r>
          </w:p>
        </w:tc>
      </w:tr>
      <w:tr>
        <w:trPr/>
        <w:tc>
          <w:tcPr>
            <w:tcW w:w="720" w:type="dxa"/>
            <w:gridSpan w:val="2"/>
            <w:vMerge w:val="restart"/>
            <w:tcBorders>
              <w:top w:val="single" w:sz="6" w:space="0" w:color="000000"/>
              <w:left w:val="single" w:sz="6" w:space="0" w:color="000000"/>
              <w:bottom w:val="single" w:sz="4" w:space="0" w:color="000000"/>
              <w:right w:val="single" w:sz="6"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8280" w:type="dxa"/>
            <w:gridSpan w:val="11"/>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2"/>
                <w:szCs w:val="22"/>
              </w:rPr>
            </w:pPr>
            <w:r>
              <w:rPr>
                <w:rFonts w:cs="Arial" w:ascii="Arial" w:hAnsi="Arial"/>
                <w:sz w:val="22"/>
                <w:szCs w:val="22"/>
              </w:rPr>
              <w:t>A. No pending litigation             □ [if no pending litigation put Tick Mark in Box]</w:t>
            </w:r>
          </w:p>
        </w:tc>
      </w:tr>
      <w:tr>
        <w:trPr/>
        <w:tc>
          <w:tcPr>
            <w:tcW w:w="720" w:type="dxa"/>
            <w:gridSpan w:val="2"/>
            <w:vMerge w:val="continue"/>
            <w:tcBorders>
              <w:top w:val="single" w:sz="4" w:space="0" w:color="000000"/>
              <w:left w:val="single" w:sz="6" w:space="0" w:color="000000"/>
              <w:bottom w:val="single" w:sz="4" w:space="0" w:color="000000"/>
              <w:right w:val="single" w:sz="6"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8280" w:type="dxa"/>
            <w:gridSpan w:val="11"/>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2"/>
                <w:szCs w:val="22"/>
              </w:rPr>
            </w:pPr>
            <w:r>
              <w:rPr>
                <w:rFonts w:cs="Arial" w:ascii="Arial" w:hAnsi="Arial"/>
                <w:sz w:val="22"/>
                <w:szCs w:val="22"/>
              </w:rPr>
              <w:t>B. Pending litigation</w:t>
            </w:r>
          </w:p>
        </w:tc>
      </w:tr>
      <w:tr>
        <w:trPr/>
        <w:tc>
          <w:tcPr>
            <w:tcW w:w="720" w:type="dxa"/>
            <w:gridSpan w:val="2"/>
            <w:vMerge w:val="continue"/>
            <w:tcBorders>
              <w:top w:val="single" w:sz="4" w:space="0" w:color="000000"/>
              <w:left w:val="single" w:sz="6" w:space="0" w:color="000000"/>
              <w:bottom w:val="single" w:sz="4" w:space="0" w:color="000000"/>
              <w:right w:val="single" w:sz="6"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725" w:type="dxa"/>
            <w:gridSpan w:val="2"/>
            <w:tcBorders>
              <w:top w:val="single" w:sz="6" w:space="0" w:color="000000"/>
              <w:left w:val="single" w:sz="6" w:space="0" w:color="000000"/>
              <w:bottom w:val="single" w:sz="4" w:space="0" w:color="000000"/>
              <w:right w:val="single" w:sz="6" w:space="0" w:color="000000"/>
            </w:tcBorders>
          </w:tcPr>
          <w:p>
            <w:pPr>
              <w:pStyle w:val="Normal"/>
              <w:widowControl w:val="false"/>
              <w:spacing w:before="60" w:after="60"/>
              <w:rPr>
                <w:rFonts w:ascii="Arial" w:hAnsi="Arial" w:cs="Arial"/>
                <w:sz w:val="22"/>
                <w:szCs w:val="22"/>
              </w:rPr>
            </w:pPr>
            <w:r>
              <w:rPr>
                <w:rFonts w:cs="Arial" w:ascii="Arial" w:hAnsi="Arial"/>
                <w:sz w:val="22"/>
                <w:szCs w:val="22"/>
              </w:rPr>
              <w:t>Year</w:t>
            </w:r>
          </w:p>
        </w:tc>
        <w:tc>
          <w:tcPr>
            <w:tcW w:w="2515" w:type="dxa"/>
            <w:gridSpan w:val="2"/>
            <w:tcBorders>
              <w:top w:val="single" w:sz="6" w:space="0" w:color="000000"/>
              <w:left w:val="single" w:sz="6" w:space="0" w:color="000000"/>
              <w:bottom w:val="single" w:sz="4" w:space="0" w:color="000000"/>
              <w:right w:val="single" w:sz="6" w:space="0" w:color="000000"/>
            </w:tcBorders>
          </w:tcPr>
          <w:p>
            <w:pPr>
              <w:pStyle w:val="Normal"/>
              <w:widowControl w:val="false"/>
              <w:spacing w:before="60" w:after="60"/>
              <w:rPr>
                <w:rFonts w:ascii="Arial" w:hAnsi="Arial" w:cs="Arial"/>
                <w:sz w:val="22"/>
                <w:szCs w:val="22"/>
              </w:rPr>
            </w:pPr>
            <w:r>
              <w:rPr>
                <w:rFonts w:cs="Arial" w:ascii="Arial" w:hAnsi="Arial"/>
                <w:sz w:val="22"/>
                <w:szCs w:val="22"/>
              </w:rPr>
              <w:t>Matter in dispute</w:t>
            </w:r>
          </w:p>
        </w:tc>
        <w:tc>
          <w:tcPr>
            <w:tcW w:w="2700" w:type="dxa"/>
            <w:gridSpan w:val="6"/>
            <w:tcBorders>
              <w:top w:val="single" w:sz="6" w:space="0" w:color="000000"/>
              <w:left w:val="single" w:sz="6" w:space="0" w:color="000000"/>
              <w:bottom w:val="single" w:sz="4" w:space="0" w:color="000000"/>
              <w:right w:val="single" w:sz="6" w:space="0" w:color="000000"/>
            </w:tcBorders>
          </w:tcPr>
          <w:p>
            <w:pPr>
              <w:pStyle w:val="Normal"/>
              <w:widowControl w:val="false"/>
              <w:spacing w:before="60" w:after="60"/>
              <w:rPr>
                <w:rFonts w:ascii="Arial" w:hAnsi="Arial" w:cs="Arial"/>
                <w:sz w:val="22"/>
                <w:szCs w:val="22"/>
              </w:rPr>
            </w:pPr>
            <w:r>
              <w:rPr>
                <w:rFonts w:cs="Arial" w:ascii="Arial" w:hAnsi="Arial"/>
                <w:sz w:val="22"/>
                <w:szCs w:val="22"/>
              </w:rPr>
              <w:t>Value of Pending Claim in Taka</w:t>
            </w:r>
          </w:p>
        </w:tc>
        <w:tc>
          <w:tcPr>
            <w:tcW w:w="2340" w:type="dxa"/>
            <w:tcBorders>
              <w:top w:val="single" w:sz="6" w:space="0" w:color="000000"/>
              <w:left w:val="single" w:sz="6" w:space="0" w:color="000000"/>
              <w:bottom w:val="single" w:sz="4" w:space="0" w:color="000000"/>
              <w:right w:val="single" w:sz="6" w:space="0" w:color="000000"/>
            </w:tcBorders>
          </w:tcPr>
          <w:p>
            <w:pPr>
              <w:pStyle w:val="Normal"/>
              <w:widowControl w:val="false"/>
              <w:spacing w:before="60" w:after="60"/>
              <w:rPr>
                <w:rFonts w:ascii="Arial" w:hAnsi="Arial" w:cs="Arial"/>
                <w:sz w:val="22"/>
                <w:szCs w:val="22"/>
              </w:rPr>
            </w:pPr>
            <w:r>
              <w:rPr>
                <w:rFonts w:cs="Arial" w:ascii="Arial" w:hAnsi="Arial"/>
                <w:sz w:val="22"/>
                <w:szCs w:val="22"/>
              </w:rPr>
              <w:t>Value of Pending Claim as Percentage of Net Worth</w:t>
            </w:r>
          </w:p>
          <w:p>
            <w:pPr>
              <w:pStyle w:val="Normal"/>
              <w:widowControl w:val="false"/>
              <w:spacing w:before="60" w:after="60"/>
              <w:rPr>
                <w:rFonts w:ascii="Arial" w:hAnsi="Arial" w:cs="Arial"/>
                <w:sz w:val="22"/>
                <w:szCs w:val="22"/>
              </w:rPr>
            </w:pPr>
            <w:r>
              <w:rPr>
                <w:rFonts w:cs="Arial" w:ascii="Arial" w:hAnsi="Arial"/>
                <w:sz w:val="22"/>
                <w:szCs w:val="22"/>
              </w:rPr>
            </w:r>
          </w:p>
        </w:tc>
      </w:tr>
      <w:tr>
        <w:trPr/>
        <w:tc>
          <w:tcPr>
            <w:tcW w:w="720" w:type="dxa"/>
            <w:gridSpan w:val="2"/>
            <w:tcBorders>
              <w:top w:val="single" w:sz="6"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t>1.8</w:t>
            </w:r>
          </w:p>
        </w:tc>
        <w:tc>
          <w:tcPr>
            <w:tcW w:w="3381" w:type="dxa"/>
            <w:gridSpan w:val="5"/>
            <w:tcBorders>
              <w:top w:val="single" w:sz="6"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t>Tenderer to attach photocopies of the original documents mentioned aside</w:t>
            </w:r>
          </w:p>
        </w:tc>
        <w:tc>
          <w:tcPr>
            <w:tcW w:w="4899" w:type="dxa"/>
            <w:gridSpan w:val="6"/>
            <w:tcBorders>
              <w:top w:val="single" w:sz="6" w:space="0" w:color="000000"/>
              <w:left w:val="single" w:sz="4" w:space="0" w:color="000000"/>
              <w:bottom w:val="single" w:sz="4" w:space="0" w:color="000000"/>
              <w:right w:val="single" w:sz="4" w:space="0" w:color="000000"/>
            </w:tcBorders>
            <w:vAlign w:val="bottom"/>
          </w:tcPr>
          <w:p>
            <w:pPr>
              <w:pStyle w:val="Normal"/>
              <w:widowControl w:val="false"/>
              <w:spacing w:before="60" w:after="60"/>
              <w:jc w:val="center"/>
              <w:rPr>
                <w:rFonts w:ascii="Arial" w:hAnsi="Arial" w:cs="Arial"/>
                <w:sz w:val="22"/>
                <w:szCs w:val="22"/>
              </w:rPr>
            </w:pPr>
            <w:r>
              <w:rPr>
                <w:rFonts w:cs="Arial" w:ascii="Arial" w:hAnsi="Arial"/>
                <w:sz w:val="22"/>
                <w:szCs w:val="22"/>
              </w:rPr>
              <w:t>[All documents required under ITT Clauses 5 and 26]</w:t>
            </w:r>
          </w:p>
        </w:tc>
      </w:tr>
      <w:tr>
        <w:trPr/>
        <w:tc>
          <w:tcPr>
            <w:tcW w:w="9000" w:type="dxa"/>
            <w:gridSpan w:val="13"/>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2"/>
                <w:szCs w:val="22"/>
              </w:rPr>
            </w:pPr>
            <w:r>
              <w:rPr>
                <w:rFonts w:cs="Arial" w:ascii="Arial" w:hAnsi="Arial"/>
                <w:sz w:val="22"/>
                <w:szCs w:val="22"/>
              </w:rPr>
              <w:t>The following two information are applicable  for National Tenderers</w:t>
            </w:r>
          </w:p>
        </w:tc>
      </w:tr>
      <w:tr>
        <w:trPr/>
        <w:tc>
          <w:tcPr>
            <w:tcW w:w="72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t>1.9</w:t>
            </w:r>
          </w:p>
        </w:tc>
        <w:tc>
          <w:tcPr>
            <w:tcW w:w="3381" w:type="dxa"/>
            <w:gridSpan w:val="5"/>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2"/>
                <w:szCs w:val="22"/>
              </w:rPr>
            </w:pPr>
            <w:r>
              <w:rPr>
                <w:rFonts w:cs="Arial" w:ascii="Arial" w:hAnsi="Arial"/>
                <w:sz w:val="22"/>
                <w:szCs w:val="22"/>
              </w:rPr>
              <w:t>Tenderer’s Value Added Tax Registration (VAT) Number</w:t>
            </w:r>
          </w:p>
        </w:tc>
        <w:tc>
          <w:tcPr>
            <w:tcW w:w="4899" w:type="dxa"/>
            <w:gridSpan w:val="6"/>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2"/>
                <w:szCs w:val="22"/>
              </w:rPr>
            </w:pPr>
            <w:r>
              <w:rPr>
                <w:rFonts w:cs="Arial" w:ascii="Arial" w:hAnsi="Arial"/>
                <w:sz w:val="22"/>
                <w:szCs w:val="22"/>
              </w:rPr>
            </w:r>
          </w:p>
        </w:tc>
      </w:tr>
      <w:tr>
        <w:trPr/>
        <w:tc>
          <w:tcPr>
            <w:tcW w:w="72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t>1.10</w:t>
            </w:r>
          </w:p>
        </w:tc>
        <w:tc>
          <w:tcPr>
            <w:tcW w:w="3381" w:type="dxa"/>
            <w:gridSpan w:val="5"/>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2"/>
                <w:szCs w:val="22"/>
              </w:rPr>
            </w:pPr>
            <w:r>
              <w:rPr>
                <w:rFonts w:cs="Arial" w:ascii="Arial" w:hAnsi="Arial"/>
                <w:sz w:val="22"/>
                <w:szCs w:val="22"/>
              </w:rPr>
              <w:t>Tenderer’s Tax Identification Number(TIN)</w:t>
            </w:r>
          </w:p>
        </w:tc>
        <w:tc>
          <w:tcPr>
            <w:tcW w:w="4899" w:type="dxa"/>
            <w:gridSpan w:val="6"/>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2"/>
                <w:szCs w:val="22"/>
              </w:rPr>
            </w:pPr>
            <w:r>
              <w:rPr>
                <w:rFonts w:cs="Arial" w:ascii="Arial" w:hAnsi="Arial"/>
                <w:sz w:val="22"/>
                <w:szCs w:val="22"/>
              </w:rPr>
            </w:r>
          </w:p>
        </w:tc>
      </w:tr>
      <w:tr>
        <w:trPr/>
        <w:tc>
          <w:tcPr>
            <w:tcW w:w="9000" w:type="dxa"/>
            <w:gridSpan w:val="13"/>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before="60" w:after="60"/>
              <w:rPr>
                <w:rFonts w:ascii="Arial" w:hAnsi="Arial" w:cs="Arial"/>
                <w:sz w:val="22"/>
                <w:szCs w:val="22"/>
              </w:rPr>
            </w:pPr>
            <w:r>
              <w:rPr>
                <w:rFonts w:cs="Arial" w:ascii="Arial" w:hAnsi="Arial"/>
                <w:sz w:val="22"/>
                <w:szCs w:val="22"/>
              </w:rPr>
              <w:t>[The foreign Tenderers, in accordance with ITT Sub Clause  5.1, shall provide evidence  by a written declaration to that effect  to demonstrate that it meets the criterion]</w:t>
            </w:r>
          </w:p>
        </w:tc>
      </w:tr>
      <w:tr>
        <w:trPr/>
        <w:tc>
          <w:tcPr>
            <w:tcW w:w="9000" w:type="dxa"/>
            <w:gridSpan w:val="13"/>
            <w:tcBorders>
              <w:top w:val="single" w:sz="6"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sz w:val="22"/>
                <w:szCs w:val="22"/>
              </w:rPr>
            </w:pPr>
            <w:r>
              <w:rPr>
                <w:rFonts w:cs="Arial" w:ascii="Arial" w:hAnsi="Arial"/>
                <w:sz w:val="22"/>
                <w:szCs w:val="22"/>
              </w:rPr>
              <w:t>2.</w:t>
              <w:tab/>
              <w:t xml:space="preserve">Qualification Information of the Tenderer </w:t>
            </w:r>
            <w:r>
              <w:rPr>
                <w:rFonts w:cs="Arial" w:ascii="Arial" w:hAnsi="Arial"/>
                <w:iCs/>
                <w:sz w:val="22"/>
                <w:szCs w:val="22"/>
                <w:lang w:val="en-GB"/>
              </w:rPr>
              <w:t>[ITT Clause 28]</w:t>
            </w:r>
          </w:p>
        </w:tc>
      </w:tr>
      <w:tr>
        <w:trPr>
          <w:trHeight w:val="332" w:hRule="atLeast"/>
        </w:trPr>
        <w:tc>
          <w:tcPr>
            <w:tcW w:w="603" w:type="dxa"/>
            <w:tcBorders>
              <w:top w:val="single" w:sz="4" w:space="0" w:color="000000"/>
              <w:left w:val="single" w:sz="4" w:space="0" w:color="000000"/>
              <w:right w:val="single" w:sz="4" w:space="0" w:color="000000"/>
            </w:tcBorders>
            <w:shd w:color="auto" w:fill="auto" w:val="clear"/>
          </w:tcPr>
          <w:p>
            <w:pPr>
              <w:pStyle w:val="Normal"/>
              <w:widowControl w:val="false"/>
              <w:spacing w:before="60" w:after="60"/>
              <w:rPr>
                <w:rFonts w:ascii="Arial" w:hAnsi="Arial" w:cs="Arial"/>
                <w:sz w:val="22"/>
                <w:szCs w:val="22"/>
              </w:rPr>
            </w:pPr>
            <w:r>
              <w:rPr>
                <w:rFonts w:cs="Arial" w:ascii="Arial" w:hAnsi="Arial"/>
                <w:sz w:val="22"/>
                <w:szCs w:val="22"/>
              </w:rPr>
              <w:t>2.1</w:t>
            </w:r>
          </w:p>
        </w:tc>
        <w:tc>
          <w:tcPr>
            <w:tcW w:w="8397" w:type="dxa"/>
            <w:gridSpan w:val="1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sz w:val="22"/>
                <w:szCs w:val="22"/>
              </w:rPr>
            </w:pPr>
            <w:r>
              <w:rPr>
                <w:rFonts w:cs="Arial" w:ascii="Arial" w:hAnsi="Arial"/>
                <w:sz w:val="22"/>
                <w:szCs w:val="22"/>
              </w:rPr>
              <w:t>General Experience in  the supply of Goods and related services of Tenderer  [State years of experience]</w:t>
            </w:r>
          </w:p>
        </w:tc>
      </w:tr>
      <w:tr>
        <w:trPr>
          <w:trHeight w:val="530" w:hRule="atLeast"/>
        </w:trPr>
        <w:tc>
          <w:tcPr>
            <w:tcW w:w="60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t>2.2</w:t>
            </w:r>
          </w:p>
        </w:tc>
        <w:tc>
          <w:tcPr>
            <w:tcW w:w="8397" w:type="dxa"/>
            <w:gridSpan w:val="1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sz w:val="22"/>
                <w:szCs w:val="22"/>
              </w:rPr>
            </w:pPr>
            <w:r>
              <w:rPr>
                <w:rFonts w:cs="Arial" w:ascii="Arial" w:hAnsi="Arial"/>
                <w:sz w:val="22"/>
                <w:szCs w:val="22"/>
              </w:rPr>
              <w:t>Specific Experience  of  satisfactory completion of supply of similar Goods</w:t>
            </w:r>
          </w:p>
        </w:tc>
      </w:tr>
      <w:tr>
        <w:trPr>
          <w:trHeight w:val="530" w:hRule="atLeast"/>
        </w:trPr>
        <w:tc>
          <w:tcPr>
            <w:tcW w:w="60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r>
          </w:p>
        </w:tc>
        <w:tc>
          <w:tcPr>
            <w:tcW w:w="252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t>Contract No</w:t>
            </w:r>
          </w:p>
          <w:p>
            <w:pPr>
              <w:pStyle w:val="Normal"/>
              <w:widowControl w:val="false"/>
              <w:spacing w:before="60" w:after="60"/>
              <w:rPr>
                <w:rFonts w:ascii="Arial" w:hAnsi="Arial" w:cs="Arial"/>
                <w:sz w:val="22"/>
                <w:szCs w:val="22"/>
              </w:rPr>
            </w:pPr>
            <w:r>
              <w:rPr>
                <w:rFonts w:cs="Arial" w:ascii="Arial" w:hAnsi="Arial"/>
                <w:sz w:val="22"/>
                <w:szCs w:val="22"/>
              </w:rPr>
            </w:r>
          </w:p>
          <w:p>
            <w:pPr>
              <w:pStyle w:val="Normal"/>
              <w:widowControl w:val="false"/>
              <w:spacing w:before="60" w:after="60"/>
              <w:rPr>
                <w:rFonts w:ascii="Arial" w:hAnsi="Arial" w:cs="Arial"/>
                <w:sz w:val="22"/>
                <w:szCs w:val="22"/>
              </w:rPr>
            </w:pPr>
            <w:r>
              <w:rPr>
                <w:rFonts w:cs="Arial" w:ascii="Arial" w:hAnsi="Arial"/>
                <w:sz w:val="22"/>
                <w:szCs w:val="22"/>
              </w:rPr>
              <w:t>Name of Contract</w:t>
            </w:r>
          </w:p>
          <w:p>
            <w:pPr>
              <w:pStyle w:val="Normal"/>
              <w:widowControl w:val="false"/>
              <w:spacing w:before="60" w:after="60"/>
              <w:rPr>
                <w:rFonts w:ascii="Arial" w:hAnsi="Arial" w:cs="Arial"/>
                <w:sz w:val="22"/>
                <w:szCs w:val="22"/>
              </w:rPr>
            </w:pPr>
            <w:r>
              <w:rPr>
                <w:rFonts w:cs="Arial" w:ascii="Arial" w:hAnsi="Arial"/>
                <w:sz w:val="22"/>
                <w:szCs w:val="22"/>
              </w:rPr>
            </w:r>
          </w:p>
        </w:tc>
        <w:tc>
          <w:tcPr>
            <w:tcW w:w="5877"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t>[ insert reference no] of [ insert year]</w:t>
            </w:r>
          </w:p>
          <w:p>
            <w:pPr>
              <w:pStyle w:val="Normal"/>
              <w:widowControl w:val="false"/>
              <w:spacing w:before="60" w:after="60"/>
              <w:rPr>
                <w:rFonts w:ascii="Arial" w:hAnsi="Arial" w:cs="Arial"/>
                <w:sz w:val="22"/>
                <w:szCs w:val="22"/>
              </w:rPr>
            </w:pPr>
            <w:r>
              <w:rPr>
                <w:rFonts w:cs="Arial" w:ascii="Arial" w:hAnsi="Arial"/>
                <w:sz w:val="22"/>
                <w:szCs w:val="22"/>
              </w:rPr>
            </w:r>
          </w:p>
          <w:p>
            <w:pPr>
              <w:pStyle w:val="Normal"/>
              <w:widowControl w:val="false"/>
              <w:spacing w:before="60" w:after="60"/>
              <w:rPr>
                <w:rFonts w:ascii="Arial" w:hAnsi="Arial" w:cs="Arial"/>
                <w:sz w:val="22"/>
                <w:szCs w:val="22"/>
              </w:rPr>
            </w:pPr>
            <w:r>
              <w:rPr>
                <w:rFonts w:cs="Arial" w:ascii="Arial" w:hAnsi="Arial"/>
                <w:sz w:val="22"/>
                <w:szCs w:val="22"/>
              </w:rPr>
              <w:t>[insert name]</w:t>
            </w:r>
          </w:p>
        </w:tc>
      </w:tr>
      <w:tr>
        <w:trPr>
          <w:trHeight w:val="530" w:hRule="atLeast"/>
        </w:trPr>
        <w:tc>
          <w:tcPr>
            <w:tcW w:w="60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r>
          </w:p>
        </w:tc>
        <w:tc>
          <w:tcPr>
            <w:tcW w:w="252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t>Award date</w:t>
            </w:r>
          </w:p>
          <w:p>
            <w:pPr>
              <w:pStyle w:val="Normal"/>
              <w:widowControl w:val="false"/>
              <w:spacing w:before="60" w:after="60"/>
              <w:rPr>
                <w:rFonts w:ascii="Arial" w:hAnsi="Arial" w:cs="Arial"/>
                <w:sz w:val="22"/>
                <w:szCs w:val="22"/>
              </w:rPr>
            </w:pPr>
            <w:r>
              <w:rPr>
                <w:rFonts w:cs="Arial" w:ascii="Arial" w:hAnsi="Arial"/>
                <w:sz w:val="22"/>
                <w:szCs w:val="22"/>
              </w:rPr>
              <w:t>Completion date</w:t>
            </w:r>
          </w:p>
          <w:p>
            <w:pPr>
              <w:pStyle w:val="Normal"/>
              <w:widowControl w:val="false"/>
              <w:spacing w:before="60" w:after="60"/>
              <w:rPr>
                <w:rFonts w:ascii="Arial" w:hAnsi="Arial" w:cs="Arial"/>
                <w:sz w:val="22"/>
                <w:szCs w:val="22"/>
              </w:rPr>
            </w:pPr>
            <w:r>
              <w:rPr>
                <w:rFonts w:cs="Arial" w:ascii="Arial" w:hAnsi="Arial"/>
                <w:sz w:val="22"/>
                <w:szCs w:val="22"/>
              </w:rPr>
              <w:t>Total Contract Value</w:t>
            </w:r>
          </w:p>
        </w:tc>
        <w:tc>
          <w:tcPr>
            <w:tcW w:w="5877"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t>[insert date]</w:t>
            </w:r>
          </w:p>
          <w:p>
            <w:pPr>
              <w:pStyle w:val="Normal"/>
              <w:widowControl w:val="false"/>
              <w:spacing w:before="60" w:after="60"/>
              <w:rPr>
                <w:rFonts w:ascii="Arial" w:hAnsi="Arial" w:cs="Arial"/>
                <w:sz w:val="22"/>
                <w:szCs w:val="22"/>
              </w:rPr>
            </w:pPr>
            <w:r>
              <w:rPr>
                <w:rFonts w:cs="Arial" w:ascii="Arial" w:hAnsi="Arial"/>
                <w:sz w:val="22"/>
                <w:szCs w:val="22"/>
              </w:rPr>
              <w:t>[insert date]</w:t>
            </w:r>
          </w:p>
          <w:p>
            <w:pPr>
              <w:pStyle w:val="Normal"/>
              <w:widowControl w:val="false"/>
              <w:spacing w:before="60" w:after="60"/>
              <w:rPr>
                <w:rFonts w:ascii="Arial" w:hAnsi="Arial" w:cs="Arial"/>
                <w:sz w:val="22"/>
                <w:szCs w:val="22"/>
              </w:rPr>
            </w:pPr>
            <w:r>
              <w:rPr>
                <w:rFonts w:cs="Arial" w:ascii="Arial" w:hAnsi="Arial"/>
                <w:sz w:val="22"/>
                <w:szCs w:val="22"/>
              </w:rPr>
              <w:t>[insert amount]</w:t>
            </w:r>
          </w:p>
        </w:tc>
      </w:tr>
      <w:tr>
        <w:trPr>
          <w:trHeight w:val="530" w:hRule="atLeast"/>
        </w:trPr>
        <w:tc>
          <w:tcPr>
            <w:tcW w:w="60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r>
          </w:p>
        </w:tc>
        <w:tc>
          <w:tcPr>
            <w:tcW w:w="252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t>Procuring Entity’s Name</w:t>
            </w:r>
          </w:p>
          <w:p>
            <w:pPr>
              <w:pStyle w:val="Normal"/>
              <w:widowControl w:val="false"/>
              <w:spacing w:before="60" w:after="60"/>
              <w:rPr>
                <w:rFonts w:ascii="Arial" w:hAnsi="Arial" w:cs="Arial"/>
                <w:sz w:val="22"/>
                <w:szCs w:val="22"/>
              </w:rPr>
            </w:pPr>
            <w:r>
              <w:rPr>
                <w:rFonts w:cs="Arial" w:ascii="Arial" w:hAnsi="Arial"/>
                <w:sz w:val="22"/>
                <w:szCs w:val="22"/>
              </w:rPr>
              <w:t>Address</w:t>
            </w:r>
          </w:p>
          <w:p>
            <w:pPr>
              <w:pStyle w:val="Normal"/>
              <w:widowControl w:val="false"/>
              <w:spacing w:before="60" w:after="60"/>
              <w:rPr>
                <w:rFonts w:ascii="Arial" w:hAnsi="Arial" w:cs="Arial"/>
                <w:sz w:val="22"/>
                <w:szCs w:val="22"/>
              </w:rPr>
            </w:pPr>
            <w:r>
              <w:rPr>
                <w:rFonts w:cs="Arial" w:ascii="Arial" w:hAnsi="Arial"/>
                <w:sz w:val="22"/>
                <w:szCs w:val="22"/>
              </w:rPr>
              <w:t>Tel / Fax</w:t>
            </w:r>
          </w:p>
          <w:p>
            <w:pPr>
              <w:pStyle w:val="Normal"/>
              <w:widowControl w:val="false"/>
              <w:spacing w:before="60" w:after="60"/>
              <w:rPr>
                <w:rFonts w:ascii="Arial" w:hAnsi="Arial" w:cs="Arial"/>
                <w:sz w:val="22"/>
                <w:szCs w:val="22"/>
              </w:rPr>
            </w:pPr>
            <w:r>
              <w:rPr>
                <w:rFonts w:cs="Arial" w:ascii="Arial" w:hAnsi="Arial"/>
                <w:sz w:val="22"/>
                <w:szCs w:val="22"/>
              </w:rPr>
              <w:t>e-mail</w:t>
            </w:r>
          </w:p>
          <w:p>
            <w:pPr>
              <w:pStyle w:val="Normal"/>
              <w:widowControl w:val="false"/>
              <w:spacing w:before="60" w:after="60"/>
              <w:rPr>
                <w:rFonts w:ascii="Arial" w:hAnsi="Arial" w:cs="Arial"/>
                <w:sz w:val="22"/>
                <w:szCs w:val="22"/>
              </w:rPr>
            </w:pPr>
            <w:r>
              <w:rPr>
                <w:rFonts w:cs="Arial" w:ascii="Arial" w:hAnsi="Arial"/>
                <w:sz w:val="22"/>
                <w:szCs w:val="22"/>
              </w:rPr>
            </w:r>
          </w:p>
          <w:p>
            <w:pPr>
              <w:pStyle w:val="Normal"/>
              <w:widowControl w:val="false"/>
              <w:spacing w:before="60" w:after="60"/>
              <w:jc w:val="both"/>
              <w:rPr>
                <w:rFonts w:ascii="Arial" w:hAnsi="Arial" w:cs="Arial"/>
                <w:sz w:val="22"/>
                <w:szCs w:val="22"/>
              </w:rPr>
            </w:pPr>
            <w:r>
              <w:rPr>
                <w:rFonts w:cs="Arial" w:ascii="Arial" w:hAnsi="Arial"/>
                <w:sz w:val="22"/>
                <w:szCs w:val="22"/>
              </w:rPr>
              <w:t>Brief description with justifications  of the similarity compared to the Procuring Entity’s requirements</w:t>
            </w:r>
          </w:p>
        </w:tc>
        <w:tc>
          <w:tcPr>
            <w:tcW w:w="5877"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rPr>
            </w:pPr>
            <w:r>
              <w:rPr>
                <w:rFonts w:cs="Arial" w:ascii="Arial" w:hAnsi="Arial"/>
                <w:sz w:val="22"/>
                <w:szCs w:val="22"/>
              </w:rPr>
            </w:r>
          </w:p>
          <w:p>
            <w:pPr>
              <w:pStyle w:val="Normal"/>
              <w:widowControl w:val="false"/>
              <w:spacing w:before="60" w:after="60"/>
              <w:rPr>
                <w:rFonts w:ascii="Arial" w:hAnsi="Arial" w:cs="Arial"/>
                <w:sz w:val="22"/>
                <w:szCs w:val="22"/>
              </w:rPr>
            </w:pPr>
            <w:r>
              <w:rPr>
                <w:rFonts w:cs="Arial" w:ascii="Arial" w:hAnsi="Arial"/>
                <w:sz w:val="22"/>
                <w:szCs w:val="22"/>
              </w:rPr>
            </w:r>
          </w:p>
          <w:p>
            <w:pPr>
              <w:pStyle w:val="Normal"/>
              <w:widowControl w:val="false"/>
              <w:spacing w:before="60" w:after="60"/>
              <w:rPr>
                <w:rFonts w:ascii="Arial" w:hAnsi="Arial" w:cs="Arial"/>
                <w:sz w:val="22"/>
                <w:szCs w:val="22"/>
              </w:rPr>
            </w:pPr>
            <w:r>
              <w:rPr>
                <w:rFonts w:cs="Arial" w:ascii="Arial" w:hAnsi="Arial"/>
                <w:sz w:val="22"/>
                <w:szCs w:val="22"/>
              </w:rPr>
            </w:r>
          </w:p>
          <w:p>
            <w:pPr>
              <w:pStyle w:val="Normal"/>
              <w:widowControl w:val="false"/>
              <w:spacing w:before="60" w:after="60"/>
              <w:rPr>
                <w:rFonts w:ascii="Arial" w:hAnsi="Arial" w:cs="Arial"/>
                <w:sz w:val="22"/>
                <w:szCs w:val="22"/>
              </w:rPr>
            </w:pPr>
            <w:r>
              <w:rPr>
                <w:rFonts w:cs="Arial" w:ascii="Arial" w:hAnsi="Arial"/>
                <w:sz w:val="22"/>
                <w:szCs w:val="22"/>
              </w:rPr>
            </w:r>
          </w:p>
          <w:p>
            <w:pPr>
              <w:pStyle w:val="Normal"/>
              <w:widowControl w:val="false"/>
              <w:spacing w:before="60" w:after="60"/>
              <w:rPr>
                <w:rFonts w:ascii="Arial" w:hAnsi="Arial" w:cs="Arial"/>
                <w:sz w:val="22"/>
                <w:szCs w:val="22"/>
              </w:rPr>
            </w:pPr>
            <w:r>
              <w:rPr>
                <w:rFonts w:cs="Arial" w:ascii="Arial" w:hAnsi="Arial"/>
                <w:sz w:val="22"/>
                <w:szCs w:val="22"/>
              </w:rPr>
            </w:r>
          </w:p>
          <w:p>
            <w:pPr>
              <w:pStyle w:val="Normal"/>
              <w:widowControl w:val="false"/>
              <w:spacing w:before="60" w:after="60"/>
              <w:rPr>
                <w:rFonts w:ascii="Arial" w:hAnsi="Arial" w:cs="Arial"/>
                <w:sz w:val="22"/>
                <w:szCs w:val="22"/>
              </w:rPr>
            </w:pPr>
            <w:r>
              <w:rPr>
                <w:rFonts w:cs="Arial" w:ascii="Arial" w:hAnsi="Arial"/>
                <w:sz w:val="22"/>
                <w:szCs w:val="22"/>
              </w:rPr>
            </w:r>
          </w:p>
          <w:p>
            <w:pPr>
              <w:pStyle w:val="Normal"/>
              <w:widowControl w:val="false"/>
              <w:spacing w:before="60" w:after="60"/>
              <w:rPr>
                <w:rFonts w:ascii="Arial" w:hAnsi="Arial" w:cs="Arial"/>
                <w:sz w:val="22"/>
                <w:szCs w:val="22"/>
              </w:rPr>
            </w:pPr>
            <w:r>
              <w:rPr>
                <w:rFonts w:cs="Arial" w:ascii="Arial" w:hAnsi="Arial"/>
                <w:sz w:val="22"/>
                <w:szCs w:val="22"/>
              </w:rPr>
              <w:t>[state justification in support of its similarity compared to the proposed supply]</w:t>
            </w:r>
          </w:p>
        </w:tc>
      </w:tr>
      <w:tr>
        <w:trPr>
          <w:trHeight w:val="530" w:hRule="atLeast"/>
        </w:trPr>
        <w:tc>
          <w:tcPr>
            <w:tcW w:w="60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t>2.3</w:t>
            </w:r>
          </w:p>
        </w:tc>
        <w:tc>
          <w:tcPr>
            <w:tcW w:w="8397" w:type="dxa"/>
            <w:gridSpan w:val="1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sz w:val="22"/>
                <w:szCs w:val="22"/>
                <w:lang w:val="en-GB"/>
              </w:rPr>
            </w:pPr>
            <w:r>
              <w:rPr>
                <w:rFonts w:cs="Arial" w:ascii="Arial" w:hAnsi="Arial"/>
                <w:sz w:val="22"/>
                <w:szCs w:val="22"/>
                <w:lang w:val="en-GB"/>
              </w:rPr>
              <w:t>Supply and/or production capacity of Goods are:</w:t>
            </w:r>
          </w:p>
        </w:tc>
      </w:tr>
      <w:tr>
        <w:trPr>
          <w:trHeight w:val="530" w:hRule="atLeast"/>
        </w:trPr>
        <w:tc>
          <w:tcPr>
            <w:tcW w:w="60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84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t>Year</w:t>
            </w:r>
          </w:p>
        </w:tc>
        <w:tc>
          <w:tcPr>
            <w:tcW w:w="3785"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t>Quantity</w:t>
            </w:r>
          </w:p>
        </w:tc>
        <w:tc>
          <w:tcPr>
            <w:tcW w:w="377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t>Type of Goods</w:t>
            </w:r>
          </w:p>
        </w:tc>
      </w:tr>
      <w:tr>
        <w:trPr>
          <w:trHeight w:val="350" w:hRule="atLeast"/>
        </w:trPr>
        <w:tc>
          <w:tcPr>
            <w:tcW w:w="60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84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3785"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377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r>
      <w:tr>
        <w:trPr/>
        <w:tc>
          <w:tcPr>
            <w:tcW w:w="60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t>2.4</w:t>
            </w:r>
          </w:p>
        </w:tc>
        <w:tc>
          <w:tcPr>
            <w:tcW w:w="8397" w:type="dxa"/>
            <w:gridSpan w:val="1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sz w:val="22"/>
                <w:szCs w:val="22"/>
                <w:lang w:val="en-GB"/>
              </w:rPr>
            </w:pPr>
            <w:r>
              <w:rPr>
                <w:rFonts w:cs="Arial" w:ascii="Arial" w:hAnsi="Arial"/>
                <w:sz w:val="22"/>
                <w:szCs w:val="22"/>
                <w:lang w:val="en-GB"/>
              </w:rPr>
              <w:t>Liquid assets available</w:t>
            </w:r>
          </w:p>
        </w:tc>
      </w:tr>
      <w:tr>
        <w:trPr/>
        <w:tc>
          <w:tcPr>
            <w:tcW w:w="60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82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t>No</w:t>
            </w:r>
          </w:p>
        </w:tc>
        <w:tc>
          <w:tcPr>
            <w:tcW w:w="3850"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t>Source of Financing</w:t>
            </w:r>
          </w:p>
        </w:tc>
        <w:tc>
          <w:tcPr>
            <w:tcW w:w="372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t>Amount Available</w:t>
            </w:r>
          </w:p>
        </w:tc>
      </w:tr>
      <w:tr>
        <w:trPr/>
        <w:tc>
          <w:tcPr>
            <w:tcW w:w="60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82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3850"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c>
          <w:tcPr>
            <w:tcW w:w="372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2"/>
                <w:szCs w:val="22"/>
                <w:lang w:val="en-GB"/>
              </w:rPr>
            </w:pPr>
            <w:r>
              <w:rPr>
                <w:rFonts w:cs="Arial" w:ascii="Arial" w:hAnsi="Arial"/>
                <w:sz w:val="22"/>
                <w:szCs w:val="22"/>
                <w:lang w:val="en-GB"/>
              </w:rPr>
            </w:r>
          </w:p>
        </w:tc>
      </w:tr>
    </w:tbl>
    <w:p>
      <w:pPr>
        <w:pStyle w:val="Normal"/>
        <w:rPr>
          <w:sz w:val="22"/>
          <w:szCs w:val="22"/>
        </w:rPr>
      </w:pPr>
      <w:r>
        <w:rPr>
          <w:sz w:val="22"/>
          <w:szCs w:val="22"/>
        </w:rPr>
      </w:r>
    </w:p>
    <w:p>
      <w:pPr>
        <w:pStyle w:val="Normal"/>
        <w:rPr>
          <w:rFonts w:ascii="Arial" w:hAnsi="Arial" w:cs="Arial"/>
          <w:i/>
          <w:i/>
          <w:iCs/>
          <w:lang w:val="en-GB"/>
        </w:rPr>
      </w:pPr>
      <w:r>
        <w:rPr>
          <w:rFonts w:cs="Arial" w:ascii="Arial" w:hAnsi="Arial"/>
          <w:i/>
          <w:iCs/>
          <w:lang w:val="en-GB"/>
        </w:rPr>
      </w:r>
    </w:p>
    <w:p>
      <w:pPr>
        <w:pStyle w:val="Normal"/>
        <w:tabs>
          <w:tab w:val="clear" w:pos="720"/>
          <w:tab w:val="right" w:pos="9000" w:leader="none"/>
        </w:tabs>
        <w:rPr>
          <w:rFonts w:ascii="Arial" w:hAnsi="Arial" w:cs="Arial"/>
          <w:lang w:val="en-GB"/>
        </w:rPr>
      </w:pPr>
      <w:r>
        <w:rPr>
          <w:rFonts w:cs="Arial" w:ascii="Arial" w:hAnsi="Arial"/>
          <w:lang w:val="en-GB"/>
        </w:rPr>
      </w:r>
    </w:p>
    <w:p>
      <w:pPr>
        <w:pStyle w:val="Normal"/>
        <w:rPr>
          <w:lang w:val="en-GB" w:eastAsia="en-US"/>
        </w:rPr>
      </w:pPr>
      <w:r>
        <w:rPr>
          <w:lang w:val="en-GB" w:eastAsia="en-US"/>
        </w:rPr>
      </w:r>
    </w:p>
    <w:p>
      <w:pPr>
        <w:pStyle w:val="Heading4"/>
        <w:jc w:val="center"/>
        <w:rPr>
          <w:b/>
          <w:b/>
          <w:bCs/>
          <w:sz w:val="32"/>
          <w:szCs w:val="32"/>
          <w:lang w:val="en-GB"/>
        </w:rPr>
      </w:pPr>
      <w:bookmarkStart w:id="789" w:name="_Toc115009727"/>
      <w:bookmarkStart w:id="790" w:name="_Toc313799960"/>
      <w:r>
        <w:rPr>
          <w:b/>
          <w:bCs/>
          <w:sz w:val="32"/>
          <w:szCs w:val="32"/>
          <w:lang w:val="en-GB"/>
        </w:rPr>
        <w:t>Subcontractor Information (Form PG3-3)</w:t>
      </w:r>
      <w:bookmarkEnd w:id="789"/>
      <w:bookmarkEnd w:id="790"/>
    </w:p>
    <w:p>
      <w:pPr>
        <w:pStyle w:val="Normal"/>
        <w:rPr>
          <w:rFonts w:ascii="Arial" w:hAnsi="Arial" w:cs="Arial"/>
          <w:sz w:val="21"/>
          <w:szCs w:val="21"/>
          <w:lang w:val="en-GB"/>
        </w:rPr>
      </w:pPr>
      <w:r>
        <w:rPr>
          <w:rFonts w:cs="Arial" w:ascii="Arial" w:hAnsi="Arial"/>
          <w:sz w:val="21"/>
          <w:szCs w:val="21"/>
          <w:lang w:val="en-GB"/>
        </w:rPr>
      </w:r>
    </w:p>
    <w:p>
      <w:pPr>
        <w:pStyle w:val="Normal"/>
        <w:jc w:val="center"/>
        <w:rPr>
          <w:rFonts w:ascii="Arial" w:hAnsi="Arial" w:cs="Arial"/>
          <w:i/>
          <w:i/>
          <w:iCs/>
          <w:sz w:val="22"/>
          <w:szCs w:val="22"/>
          <w:lang w:val="en-GB"/>
        </w:rPr>
      </w:pPr>
      <w:r>
        <w:rPr>
          <w:rFonts w:cs="Arial" w:ascii="Arial" w:hAnsi="Arial"/>
          <w:i/>
          <w:iCs/>
          <w:sz w:val="22"/>
          <w:szCs w:val="22"/>
          <w:lang w:val="en-GB"/>
        </w:rPr>
        <w:t>[</w:t>
      </w:r>
      <w:r>
        <w:rPr>
          <w:rFonts w:cs="Arial" w:ascii="Arial" w:hAnsi="Arial"/>
          <w:i/>
          <w:iCs/>
          <w:sz w:val="20"/>
          <w:szCs w:val="20"/>
          <w:lang w:val="en-GB"/>
        </w:rPr>
        <w:t>This Form should be completed</w:t>
      </w:r>
      <w:r>
        <w:rPr>
          <w:rFonts w:cs="Arial" w:ascii="Arial" w:hAnsi="Arial"/>
          <w:i/>
          <w:iCs/>
          <w:sz w:val="20"/>
          <w:szCs w:val="20"/>
          <w:u w:val="single"/>
          <w:lang w:val="en-GB"/>
        </w:rPr>
        <w:t xml:space="preserve"> by each Subcontractor</w:t>
      </w:r>
      <w:r>
        <w:rPr>
          <w:rFonts w:cs="Arial" w:ascii="Arial" w:hAnsi="Arial"/>
          <w:i/>
          <w:iCs/>
          <w:sz w:val="20"/>
          <w:szCs w:val="20"/>
          <w:lang w:val="en-GB"/>
        </w:rPr>
        <w:t>, preferably on its Letter-Head Pad]</w:t>
      </w:r>
    </w:p>
    <w:p>
      <w:pPr>
        <w:pStyle w:val="Normal"/>
        <w:rPr>
          <w:rFonts w:ascii="Arial" w:hAnsi="Arial" w:cs="Arial"/>
          <w:sz w:val="21"/>
          <w:szCs w:val="21"/>
          <w:lang w:val="en-GB"/>
        </w:rPr>
      </w:pPr>
      <w:r>
        <w:rPr>
          <w:rFonts w:cs="Arial" w:ascii="Arial" w:hAnsi="Arial"/>
          <w:sz w:val="21"/>
          <w:szCs w:val="21"/>
          <w:lang w:val="en-GB"/>
        </w:rPr>
      </w:r>
    </w:p>
    <w:tbl>
      <w:tblPr>
        <w:tblW w:w="9000" w:type="dxa"/>
        <w:jc w:val="left"/>
        <w:tblInd w:w="109" w:type="dxa"/>
        <w:tblLayout w:type="fixed"/>
        <w:tblCellMar>
          <w:top w:w="0" w:type="dxa"/>
          <w:left w:w="108" w:type="dxa"/>
          <w:bottom w:w="0" w:type="dxa"/>
          <w:right w:w="108" w:type="dxa"/>
        </w:tblCellMar>
        <w:tblLook w:val="01e0" w:noHBand="0" w:noVBand="0" w:firstColumn="1" w:lastRow="1" w:lastColumn="1" w:firstRow="1"/>
      </w:tblPr>
      <w:tblGrid>
        <w:gridCol w:w="6000"/>
        <w:gridCol w:w="2999"/>
      </w:tblGrid>
      <w:tr>
        <w:trPr/>
        <w:tc>
          <w:tcPr>
            <w:tcW w:w="6000" w:type="dxa"/>
            <w:tcBorders/>
          </w:tcPr>
          <w:p>
            <w:pPr>
              <w:pStyle w:val="Normal"/>
              <w:widowControl w:val="false"/>
              <w:spacing w:before="60" w:after="60"/>
              <w:rPr>
                <w:rFonts w:ascii="Arial" w:hAnsi="Arial" w:cs="Arial"/>
                <w:sz w:val="20"/>
                <w:lang w:val="en-GB"/>
              </w:rPr>
            </w:pPr>
            <w:r>
              <w:rPr>
                <w:rFonts w:cs="Arial" w:ascii="Arial" w:hAnsi="Arial"/>
                <w:sz w:val="20"/>
                <w:lang w:val="en-GB"/>
              </w:rPr>
              <w:t>Invitation for Tender No:</w:t>
            </w:r>
          </w:p>
        </w:tc>
        <w:tc>
          <w:tcPr>
            <w:tcW w:w="2999" w:type="dxa"/>
            <w:tcBorders/>
          </w:tcPr>
          <w:p>
            <w:pPr>
              <w:pStyle w:val="Normal"/>
              <w:widowControl w:val="false"/>
              <w:spacing w:before="60" w:after="60"/>
              <w:rPr>
                <w:rFonts w:ascii="Arial" w:hAnsi="Arial" w:cs="Arial"/>
                <w:sz w:val="20"/>
                <w:lang w:val="en-GB"/>
              </w:rPr>
            </w:pPr>
            <w:r>
              <w:rPr>
                <w:rFonts w:cs="Arial" w:ascii="Arial" w:hAnsi="Arial"/>
                <w:i/>
                <w:iCs/>
                <w:sz w:val="20"/>
                <w:lang w:val="en-GB"/>
              </w:rPr>
              <w:t>[ IFT No]</w:t>
            </w:r>
          </w:p>
        </w:tc>
      </w:tr>
      <w:tr>
        <w:trPr/>
        <w:tc>
          <w:tcPr>
            <w:tcW w:w="6000" w:type="dxa"/>
            <w:tcBorders/>
          </w:tcPr>
          <w:p>
            <w:pPr>
              <w:pStyle w:val="Normal"/>
              <w:widowControl w:val="false"/>
              <w:spacing w:before="60" w:after="60"/>
              <w:rPr>
                <w:rFonts w:ascii="Arial" w:hAnsi="Arial" w:cs="Arial"/>
                <w:sz w:val="20"/>
                <w:lang w:val="en-GB"/>
              </w:rPr>
            </w:pPr>
            <w:r>
              <w:rPr>
                <w:rFonts w:cs="Arial" w:ascii="Arial" w:hAnsi="Arial"/>
                <w:sz w:val="20"/>
                <w:lang w:val="en-GB"/>
              </w:rPr>
              <w:t>Tender Package No</w:t>
            </w:r>
          </w:p>
        </w:tc>
        <w:tc>
          <w:tcPr>
            <w:tcW w:w="2999" w:type="dxa"/>
            <w:tcBorders/>
          </w:tcPr>
          <w:p>
            <w:pPr>
              <w:pStyle w:val="Normal"/>
              <w:widowControl w:val="false"/>
              <w:spacing w:before="60" w:after="60"/>
              <w:rPr>
                <w:rFonts w:ascii="Arial" w:hAnsi="Arial" w:cs="Arial"/>
                <w:sz w:val="20"/>
                <w:lang w:val="en-GB"/>
              </w:rPr>
            </w:pPr>
            <w:r>
              <w:rPr>
                <w:rFonts w:cs="Arial" w:ascii="Arial" w:hAnsi="Arial"/>
                <w:i/>
                <w:iCs/>
                <w:sz w:val="20"/>
                <w:lang w:val="en-GB"/>
              </w:rPr>
              <w:t>[Package No]</w:t>
            </w:r>
          </w:p>
        </w:tc>
      </w:tr>
      <w:tr>
        <w:trPr/>
        <w:tc>
          <w:tcPr>
            <w:tcW w:w="6000" w:type="dxa"/>
            <w:tcBorders/>
          </w:tcPr>
          <w:p>
            <w:pPr>
              <w:pStyle w:val="Normal"/>
              <w:widowControl w:val="false"/>
              <w:spacing w:before="60" w:after="60"/>
              <w:rPr>
                <w:rFonts w:ascii="Arial" w:hAnsi="Arial" w:cs="Arial"/>
                <w:sz w:val="20"/>
                <w:lang w:val="en-GB"/>
              </w:rPr>
            </w:pPr>
            <w:r>
              <w:rPr>
                <w:rFonts w:cs="Arial" w:ascii="Arial" w:hAnsi="Arial"/>
                <w:sz w:val="20"/>
                <w:lang w:val="en-GB"/>
              </w:rPr>
              <w:t>Lot No. (</w:t>
            </w:r>
            <w:r>
              <w:rPr>
                <w:rFonts w:cs="Arial" w:ascii="Arial" w:hAnsi="Arial"/>
                <w:i/>
                <w:sz w:val="20"/>
                <w:lang w:val="en-GB"/>
              </w:rPr>
              <w:t>when applicable</w:t>
            </w:r>
            <w:r>
              <w:rPr>
                <w:rFonts w:cs="Arial" w:ascii="Arial" w:hAnsi="Arial"/>
                <w:sz w:val="20"/>
                <w:lang w:val="en-GB"/>
              </w:rPr>
              <w:t>)</w:t>
            </w:r>
          </w:p>
        </w:tc>
        <w:tc>
          <w:tcPr>
            <w:tcW w:w="2999" w:type="dxa"/>
            <w:tcBorders/>
          </w:tcPr>
          <w:p>
            <w:pPr>
              <w:pStyle w:val="Normal"/>
              <w:widowControl w:val="false"/>
              <w:spacing w:before="60" w:after="60"/>
              <w:rPr>
                <w:rFonts w:ascii="Arial" w:hAnsi="Arial" w:cs="Arial"/>
                <w:sz w:val="20"/>
                <w:lang w:val="en-GB"/>
              </w:rPr>
            </w:pPr>
            <w:r>
              <w:rPr>
                <w:rFonts w:cs="Arial" w:ascii="Arial" w:hAnsi="Arial"/>
                <w:i/>
                <w:iCs/>
                <w:sz w:val="20"/>
                <w:lang w:val="en-GB"/>
              </w:rPr>
              <w:t>[Lot No]</w:t>
            </w:r>
          </w:p>
        </w:tc>
      </w:tr>
    </w:tbl>
    <w:p>
      <w:pPr>
        <w:pStyle w:val="Normal"/>
        <w:rPr>
          <w:rFonts w:ascii="Arial" w:hAnsi="Arial" w:cs="Arial"/>
          <w:sz w:val="9"/>
          <w:szCs w:val="21"/>
          <w:lang w:val="en-GB"/>
        </w:rPr>
      </w:pPr>
      <w:r>
        <w:rPr>
          <w:rFonts w:cs="Arial" w:ascii="Arial" w:hAnsi="Arial"/>
          <w:sz w:val="9"/>
          <w:szCs w:val="21"/>
          <w:lang w:val="en-GB"/>
        </w:rPr>
      </w:r>
    </w:p>
    <w:tbl>
      <w:tblPr>
        <w:tblW w:w="9017" w:type="dxa"/>
        <w:jc w:val="left"/>
        <w:tblInd w:w="109" w:type="dxa"/>
        <w:tblLayout w:type="fixed"/>
        <w:tblCellMar>
          <w:top w:w="0" w:type="dxa"/>
          <w:left w:w="108" w:type="dxa"/>
          <w:bottom w:w="0" w:type="dxa"/>
          <w:right w:w="108" w:type="dxa"/>
        </w:tblCellMar>
        <w:tblLook w:val="01e0" w:noHBand="0" w:noVBand="0" w:firstColumn="1" w:lastRow="1" w:lastColumn="1" w:firstRow="1"/>
      </w:tblPr>
      <w:tblGrid>
        <w:gridCol w:w="603"/>
        <w:gridCol w:w="115"/>
        <w:gridCol w:w="2043"/>
        <w:gridCol w:w="1320"/>
        <w:gridCol w:w="19"/>
        <w:gridCol w:w="2862"/>
        <w:gridCol w:w="2046"/>
        <w:gridCol w:w="9"/>
      </w:tblGrid>
      <w:tr>
        <w:trPr/>
        <w:tc>
          <w:tcPr>
            <w:tcW w:w="9017"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i/>
                <w:i/>
                <w:iCs/>
                <w:sz w:val="20"/>
                <w:lang w:val="en-GB"/>
              </w:rPr>
            </w:pPr>
            <w:r>
              <w:rPr>
                <w:rFonts w:cs="Arial" w:ascii="Arial" w:hAnsi="Arial"/>
                <w:sz w:val="20"/>
                <w:lang w:val="en-GB"/>
              </w:rPr>
              <w:t>1.</w:t>
              <w:tab/>
              <w:t>Eligibility Information of the Subcontractor [</w:t>
            </w:r>
            <w:r>
              <w:rPr>
                <w:rFonts w:cs="Arial" w:ascii="Arial" w:hAnsi="Arial"/>
                <w:i/>
                <w:iCs/>
                <w:sz w:val="20"/>
                <w:lang w:val="en-GB"/>
              </w:rPr>
              <w:t>ITTClause</w:t>
            </w:r>
            <w:r>
              <w:rPr>
                <w:rFonts w:cs="Arial" w:ascii="Arial" w:hAnsi="Arial"/>
                <w:i/>
                <w:iCs/>
                <w:sz w:val="20"/>
                <w:highlight w:val="yellow"/>
                <w:lang w:val="en-GB"/>
              </w:rPr>
              <w:t>5 and  2</w:t>
            </w:r>
            <w:r>
              <w:rPr>
                <w:rFonts w:cs="Arial" w:ascii="Arial" w:hAnsi="Arial"/>
                <w:i/>
                <w:iCs/>
                <w:sz w:val="20"/>
                <w:lang w:val="en-GB"/>
              </w:rPr>
              <w:t>6]</w:t>
            </w:r>
          </w:p>
        </w:tc>
      </w:tr>
      <w:tr>
        <w:trPr/>
        <w:tc>
          <w:tcPr>
            <w:tcW w:w="7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1.1</w:t>
            </w:r>
          </w:p>
        </w:tc>
        <w:tc>
          <w:tcPr>
            <w:tcW w:w="338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Nationality of Individual or country of Registration</w:t>
            </w:r>
          </w:p>
          <w:p>
            <w:pPr>
              <w:pStyle w:val="Normal"/>
              <w:widowControl w:val="false"/>
              <w:spacing w:before="60" w:after="60"/>
              <w:rPr>
                <w:rFonts w:ascii="Arial" w:hAnsi="Arial" w:cs="Arial"/>
                <w:sz w:val="20"/>
                <w:lang w:val="en-GB"/>
              </w:rPr>
            </w:pPr>
            <w:r>
              <w:rPr>
                <w:rFonts w:cs="Arial" w:ascii="Arial" w:hAnsi="Arial"/>
                <w:sz w:val="20"/>
                <w:lang w:val="en-GB"/>
              </w:rPr>
            </w:r>
          </w:p>
        </w:tc>
        <w:tc>
          <w:tcPr>
            <w:tcW w:w="49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r>
      <w:tr>
        <w:trPr/>
        <w:tc>
          <w:tcPr>
            <w:tcW w:w="7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1.2</w:t>
            </w:r>
          </w:p>
        </w:tc>
        <w:tc>
          <w:tcPr>
            <w:tcW w:w="338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Subcontractor’s legal title</w:t>
            </w:r>
          </w:p>
          <w:p>
            <w:pPr>
              <w:pStyle w:val="Normal"/>
              <w:widowControl w:val="false"/>
              <w:spacing w:before="60" w:after="60"/>
              <w:rPr>
                <w:rFonts w:ascii="Arial" w:hAnsi="Arial" w:cs="Arial"/>
                <w:sz w:val="20"/>
                <w:lang w:val="en-GB"/>
              </w:rPr>
            </w:pPr>
            <w:r>
              <w:rPr>
                <w:rFonts w:cs="Arial" w:ascii="Arial" w:hAnsi="Arial"/>
                <w:sz w:val="20"/>
                <w:lang w:val="en-GB"/>
              </w:rPr>
            </w:r>
          </w:p>
        </w:tc>
        <w:tc>
          <w:tcPr>
            <w:tcW w:w="49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r>
      <w:tr>
        <w:trPr>
          <w:trHeight w:val="917" w:hRule="atLeast"/>
        </w:trPr>
        <w:tc>
          <w:tcPr>
            <w:tcW w:w="7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1.3</w:t>
            </w:r>
          </w:p>
        </w:tc>
        <w:tc>
          <w:tcPr>
            <w:tcW w:w="338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Subcontractor’s registered address</w:t>
            </w:r>
          </w:p>
        </w:tc>
        <w:tc>
          <w:tcPr>
            <w:tcW w:w="49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p>
            <w:pPr>
              <w:pStyle w:val="Normal"/>
              <w:widowControl w:val="false"/>
              <w:spacing w:before="60" w:after="60"/>
              <w:rPr>
                <w:rFonts w:ascii="Arial" w:hAnsi="Arial" w:cs="Arial"/>
                <w:sz w:val="20"/>
                <w:lang w:val="en-GB"/>
              </w:rPr>
            </w:pPr>
            <w:r>
              <w:rPr>
                <w:rFonts w:cs="Arial" w:ascii="Arial" w:hAnsi="Arial"/>
                <w:sz w:val="20"/>
                <w:lang w:val="en-GB"/>
              </w:rPr>
            </w:r>
          </w:p>
          <w:p>
            <w:pPr>
              <w:pStyle w:val="Normal"/>
              <w:widowControl w:val="false"/>
              <w:spacing w:before="60" w:after="60"/>
              <w:rPr>
                <w:rFonts w:ascii="Arial" w:hAnsi="Arial" w:cs="Arial"/>
                <w:sz w:val="20"/>
                <w:lang w:val="en-GB"/>
              </w:rPr>
            </w:pPr>
            <w:r>
              <w:rPr>
                <w:rFonts w:cs="Arial" w:ascii="Arial" w:hAnsi="Arial"/>
                <w:sz w:val="20"/>
                <w:lang w:val="en-GB"/>
              </w:rPr>
            </w:r>
          </w:p>
          <w:p>
            <w:pPr>
              <w:pStyle w:val="Normal"/>
              <w:widowControl w:val="false"/>
              <w:spacing w:before="60" w:after="60"/>
              <w:rPr>
                <w:rFonts w:ascii="Arial" w:hAnsi="Arial" w:cs="Arial"/>
                <w:sz w:val="20"/>
                <w:lang w:val="en-GB"/>
              </w:rPr>
            </w:pPr>
            <w:r>
              <w:rPr>
                <w:rFonts w:cs="Arial" w:ascii="Arial" w:hAnsi="Arial"/>
                <w:sz w:val="20"/>
                <w:lang w:val="en-GB"/>
              </w:rPr>
            </w:r>
          </w:p>
        </w:tc>
      </w:tr>
      <w:tr>
        <w:trPr/>
        <w:tc>
          <w:tcPr>
            <w:tcW w:w="7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1.4</w:t>
            </w:r>
          </w:p>
        </w:tc>
        <w:tc>
          <w:tcPr>
            <w:tcW w:w="8299"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i/>
                <w:i/>
                <w:iCs/>
                <w:sz w:val="20"/>
                <w:lang w:val="en-GB"/>
              </w:rPr>
            </w:pPr>
            <w:r>
              <w:rPr>
                <w:rFonts w:cs="Arial" w:ascii="Arial" w:hAnsi="Arial"/>
                <w:sz w:val="20"/>
                <w:lang w:val="en-GB"/>
              </w:rPr>
              <w:t xml:space="preserve">Subcontractor’s legal status </w:t>
            </w:r>
            <w:r>
              <w:rPr>
                <w:rFonts w:cs="Arial" w:ascii="Arial" w:hAnsi="Arial"/>
                <w:i/>
                <w:iCs/>
                <w:sz w:val="20"/>
                <w:lang w:val="en-GB"/>
              </w:rPr>
              <w:t>[complete the relevant box]</w:t>
            </w:r>
          </w:p>
        </w:tc>
      </w:tr>
      <w:tr>
        <w:trPr/>
        <w:tc>
          <w:tcPr>
            <w:tcW w:w="718" w:type="dxa"/>
            <w:gridSpan w:val="2"/>
            <w:tcBorders>
              <w:top w:val="single" w:sz="4" w:space="0" w:color="000000"/>
              <w:left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338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Proprietorship</w:t>
            </w:r>
          </w:p>
          <w:p>
            <w:pPr>
              <w:pStyle w:val="Normal"/>
              <w:widowControl w:val="false"/>
              <w:spacing w:before="60" w:after="60"/>
              <w:rPr>
                <w:rFonts w:ascii="Arial" w:hAnsi="Arial" w:cs="Arial"/>
                <w:sz w:val="20"/>
                <w:lang w:val="en-GB"/>
              </w:rPr>
            </w:pPr>
            <w:r>
              <w:rPr>
                <w:rFonts w:cs="Arial" w:ascii="Arial" w:hAnsi="Arial"/>
                <w:sz w:val="20"/>
                <w:lang w:val="en-GB"/>
              </w:rPr>
            </w:r>
          </w:p>
        </w:tc>
        <w:tc>
          <w:tcPr>
            <w:tcW w:w="49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r>
      <w:tr>
        <w:trPr/>
        <w:tc>
          <w:tcPr>
            <w:tcW w:w="718" w:type="dxa"/>
            <w:gridSpan w:val="2"/>
            <w:tcBorders>
              <w:left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338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Partnership</w:t>
            </w:r>
          </w:p>
          <w:p>
            <w:pPr>
              <w:pStyle w:val="Normal"/>
              <w:widowControl w:val="false"/>
              <w:spacing w:before="60" w:after="60"/>
              <w:rPr>
                <w:rFonts w:ascii="Arial" w:hAnsi="Arial" w:cs="Arial"/>
                <w:sz w:val="20"/>
                <w:lang w:val="en-GB"/>
              </w:rPr>
            </w:pPr>
            <w:r>
              <w:rPr>
                <w:rFonts w:cs="Arial" w:ascii="Arial" w:hAnsi="Arial"/>
                <w:sz w:val="20"/>
                <w:lang w:val="en-GB"/>
              </w:rPr>
            </w:r>
          </w:p>
        </w:tc>
        <w:tc>
          <w:tcPr>
            <w:tcW w:w="4917" w:type="dxa"/>
            <w:gridSpan w:val="3"/>
            <w:tcBorders>
              <w:top w:val="single" w:sz="4" w:space="0" w:color="000000"/>
              <w:left w:val="single" w:sz="4" w:space="0" w:color="000000"/>
              <w:bottom w:val="single" w:sz="4" w:space="0" w:color="000000"/>
              <w:right w:val="single" w:sz="4" w:space="0" w:color="000000"/>
            </w:tcBorders>
          </w:tcPr>
          <w:p>
            <w:pPr>
              <w:pStyle w:val="Document1"/>
              <w:keepNext w:val="false"/>
              <w:keepLines w:val="false"/>
              <w:widowControl w:val="false"/>
              <w:tabs>
                <w:tab w:val="clear" w:pos="-720"/>
              </w:tabs>
              <w:suppressAutoHyphens w:val="false"/>
              <w:overflowPunct w:val="true"/>
              <w:spacing w:before="60" w:after="60"/>
              <w:textAlignment w:val="auto"/>
              <w:rPr>
                <w:rFonts w:ascii="Arial" w:hAnsi="Arial" w:eastAsia="SimSun" w:cs="Arial"/>
                <w:szCs w:val="24"/>
                <w:lang w:val="en-GB"/>
              </w:rPr>
            </w:pPr>
            <w:r>
              <w:rPr>
                <w:rFonts w:eastAsia="SimSun" w:cs="Arial" w:ascii="Arial" w:hAnsi="Arial"/>
                <w:szCs w:val="24"/>
                <w:lang w:val="en-GB"/>
              </w:rPr>
            </w:r>
          </w:p>
        </w:tc>
      </w:tr>
      <w:tr>
        <w:trPr/>
        <w:tc>
          <w:tcPr>
            <w:tcW w:w="718" w:type="dxa"/>
            <w:gridSpan w:val="2"/>
            <w:tcBorders>
              <w:left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338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Limited Liability Concern</w:t>
            </w:r>
          </w:p>
          <w:p>
            <w:pPr>
              <w:pStyle w:val="Normal"/>
              <w:widowControl w:val="false"/>
              <w:spacing w:before="60" w:after="60"/>
              <w:rPr>
                <w:rFonts w:ascii="Arial" w:hAnsi="Arial" w:cs="Arial"/>
                <w:sz w:val="20"/>
                <w:lang w:val="en-GB"/>
              </w:rPr>
            </w:pPr>
            <w:r>
              <w:rPr>
                <w:rFonts w:cs="Arial" w:ascii="Arial" w:hAnsi="Arial"/>
                <w:sz w:val="20"/>
                <w:lang w:val="en-GB"/>
              </w:rPr>
            </w:r>
          </w:p>
        </w:tc>
        <w:tc>
          <w:tcPr>
            <w:tcW w:w="49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r>
      <w:tr>
        <w:trPr/>
        <w:tc>
          <w:tcPr>
            <w:tcW w:w="718" w:type="dxa"/>
            <w:gridSpan w:val="2"/>
            <w:tcBorders>
              <w:left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338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Government-owned Enterprise</w:t>
            </w:r>
          </w:p>
          <w:p>
            <w:pPr>
              <w:pStyle w:val="Normal"/>
              <w:widowControl w:val="false"/>
              <w:spacing w:before="60" w:after="60"/>
              <w:rPr>
                <w:rFonts w:ascii="Arial" w:hAnsi="Arial" w:cs="Arial"/>
                <w:sz w:val="20"/>
                <w:lang w:val="en-GB"/>
              </w:rPr>
            </w:pPr>
            <w:r>
              <w:rPr>
                <w:rFonts w:cs="Arial" w:ascii="Arial" w:hAnsi="Arial"/>
                <w:sz w:val="20"/>
                <w:lang w:val="en-GB"/>
              </w:rPr>
            </w:r>
          </w:p>
        </w:tc>
        <w:tc>
          <w:tcPr>
            <w:tcW w:w="49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r>
      <w:tr>
        <w:trPr/>
        <w:tc>
          <w:tcPr>
            <w:tcW w:w="718" w:type="dxa"/>
            <w:gridSpan w:val="2"/>
            <w:tcBorders>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338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Other</w:t>
            </w:r>
          </w:p>
          <w:p>
            <w:pPr>
              <w:pStyle w:val="Normal"/>
              <w:widowControl w:val="false"/>
              <w:spacing w:before="60" w:after="60"/>
              <w:rPr>
                <w:rFonts w:ascii="Arial" w:hAnsi="Arial" w:cs="Arial"/>
                <w:sz w:val="20"/>
                <w:lang w:val="en-GB"/>
              </w:rPr>
            </w:pPr>
            <w:r>
              <w:rPr>
                <w:rFonts w:cs="Arial" w:ascii="Arial" w:hAnsi="Arial"/>
                <w:sz w:val="20"/>
                <w:lang w:val="en-GB"/>
              </w:rPr>
              <w:t>(please describe)</w:t>
            </w:r>
          </w:p>
        </w:tc>
        <w:tc>
          <w:tcPr>
            <w:tcW w:w="49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r>
      <w:tr>
        <w:trPr/>
        <w:tc>
          <w:tcPr>
            <w:tcW w:w="7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1.5</w:t>
            </w:r>
          </w:p>
        </w:tc>
        <w:tc>
          <w:tcPr>
            <w:tcW w:w="8299"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Subcontractor’s year of registration</w:t>
            </w:r>
          </w:p>
        </w:tc>
      </w:tr>
      <w:tr>
        <w:trPr/>
        <w:tc>
          <w:tcPr>
            <w:tcW w:w="7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1.6</w:t>
            </w:r>
          </w:p>
        </w:tc>
        <w:tc>
          <w:tcPr>
            <w:tcW w:w="338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Subcontractor’s authorised representative details</w:t>
            </w:r>
          </w:p>
        </w:tc>
        <w:tc>
          <w:tcPr>
            <w:tcW w:w="49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r>
      <w:tr>
        <w:trPr/>
        <w:tc>
          <w:tcPr>
            <w:tcW w:w="718" w:type="dxa"/>
            <w:gridSpan w:val="2"/>
            <w:tcBorders>
              <w:top w:val="single" w:sz="4" w:space="0" w:color="000000"/>
              <w:left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338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Name</w:t>
            </w:r>
          </w:p>
        </w:tc>
        <w:tc>
          <w:tcPr>
            <w:tcW w:w="49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r>
      <w:tr>
        <w:trPr/>
        <w:tc>
          <w:tcPr>
            <w:tcW w:w="718" w:type="dxa"/>
            <w:gridSpan w:val="2"/>
            <w:tcBorders>
              <w:left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338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Address</w:t>
            </w:r>
          </w:p>
        </w:tc>
        <w:tc>
          <w:tcPr>
            <w:tcW w:w="49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r>
      <w:tr>
        <w:trPr/>
        <w:tc>
          <w:tcPr>
            <w:tcW w:w="718" w:type="dxa"/>
            <w:gridSpan w:val="2"/>
            <w:tcBorders>
              <w:left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338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Telephone / Fax numbers</w:t>
            </w:r>
          </w:p>
        </w:tc>
        <w:tc>
          <w:tcPr>
            <w:tcW w:w="49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r>
      <w:tr>
        <w:trPr/>
        <w:tc>
          <w:tcPr>
            <w:tcW w:w="718" w:type="dxa"/>
            <w:gridSpan w:val="2"/>
            <w:tcBorders>
              <w:left w:val="single" w:sz="4" w:space="0" w:color="000000"/>
              <w:bottom w:val="single" w:sz="6"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3382" w:type="dxa"/>
            <w:gridSpan w:val="3"/>
            <w:tcBorders>
              <w:top w:val="single" w:sz="4" w:space="0" w:color="000000"/>
              <w:left w:val="single" w:sz="4" w:space="0" w:color="000000"/>
              <w:bottom w:val="single" w:sz="6"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e-mail address</w:t>
            </w:r>
          </w:p>
        </w:tc>
        <w:tc>
          <w:tcPr>
            <w:tcW w:w="4917" w:type="dxa"/>
            <w:gridSpan w:val="3"/>
            <w:tcBorders>
              <w:top w:val="single" w:sz="4" w:space="0" w:color="000000"/>
              <w:left w:val="single" w:sz="4" w:space="0" w:color="000000"/>
              <w:bottom w:val="single" w:sz="6"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r>
      <w:tr>
        <w:trPr/>
        <w:tc>
          <w:tcPr>
            <w:tcW w:w="718" w:type="dxa"/>
            <w:gridSpan w:val="2"/>
            <w:tcBorders>
              <w:top w:val="single" w:sz="6"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1.7</w:t>
            </w:r>
          </w:p>
        </w:tc>
        <w:tc>
          <w:tcPr>
            <w:tcW w:w="3382" w:type="dxa"/>
            <w:gridSpan w:val="3"/>
            <w:tcBorders>
              <w:top w:val="single" w:sz="6"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Subcontractor to attach copies of the following original documents</w:t>
            </w:r>
          </w:p>
        </w:tc>
        <w:tc>
          <w:tcPr>
            <w:tcW w:w="4917" w:type="dxa"/>
            <w:gridSpan w:val="3"/>
            <w:tcBorders>
              <w:top w:val="single" w:sz="6" w:space="0" w:color="000000"/>
              <w:left w:val="single" w:sz="4" w:space="0" w:color="000000"/>
              <w:bottom w:val="single" w:sz="4" w:space="0" w:color="000000"/>
              <w:right w:val="single" w:sz="4" w:space="0" w:color="000000"/>
            </w:tcBorders>
          </w:tcPr>
          <w:p>
            <w:pPr>
              <w:pStyle w:val="Normal"/>
              <w:widowControl w:val="false"/>
              <w:tabs>
                <w:tab w:val="clear" w:pos="720"/>
                <w:tab w:val="left" w:pos="771" w:leader="none"/>
              </w:tabs>
              <w:spacing w:before="60" w:after="60"/>
              <w:jc w:val="both"/>
              <w:rPr>
                <w:rFonts w:ascii="Arial" w:hAnsi="Arial" w:cs="Arial"/>
                <w:sz w:val="20"/>
                <w:lang w:val="en-GB"/>
              </w:rPr>
            </w:pPr>
            <w:r>
              <w:rPr>
                <w:rFonts w:cs="Arial" w:ascii="Arial" w:hAnsi="Arial"/>
                <w:sz w:val="20"/>
                <w:lang w:val="en-GB"/>
              </w:rPr>
              <w:t>All documents to the extent relevant to ITT</w:t>
            </w:r>
            <w:r>
              <w:rPr>
                <w:rFonts w:cs="Arial" w:ascii="Arial" w:hAnsi="Arial"/>
                <w:sz w:val="20"/>
                <w:highlight w:val="yellow"/>
                <w:lang w:val="en-GB"/>
              </w:rPr>
              <w:t>Clause 5 and 2</w:t>
            </w:r>
            <w:r>
              <w:rPr>
                <w:rFonts w:cs="Arial" w:ascii="Arial" w:hAnsi="Arial"/>
                <w:sz w:val="20"/>
                <w:lang w:val="en-GB"/>
              </w:rPr>
              <w:t>6 in support of its qualifications</w:t>
            </w:r>
          </w:p>
        </w:tc>
      </w:tr>
      <w:tr>
        <w:trPr/>
        <w:tc>
          <w:tcPr>
            <w:tcW w:w="9017" w:type="dxa"/>
            <w:gridSpan w:val="8"/>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The following two information are applicable for national  Subcontractors</w:t>
            </w:r>
          </w:p>
        </w:tc>
      </w:tr>
      <w:tr>
        <w:trPr/>
        <w:tc>
          <w:tcPr>
            <w:tcW w:w="718"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1.8</w:t>
            </w:r>
          </w:p>
        </w:tc>
        <w:tc>
          <w:tcPr>
            <w:tcW w:w="3382" w:type="dxa"/>
            <w:gridSpan w:val="3"/>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Subcontractor’s Value Added Tax Registration (VAT) Number</w:t>
            </w:r>
          </w:p>
        </w:tc>
        <w:tc>
          <w:tcPr>
            <w:tcW w:w="4917" w:type="dxa"/>
            <w:gridSpan w:val="3"/>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r>
      <w:tr>
        <w:trPr/>
        <w:tc>
          <w:tcPr>
            <w:tcW w:w="718"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1.9</w:t>
            </w:r>
          </w:p>
        </w:tc>
        <w:tc>
          <w:tcPr>
            <w:tcW w:w="3382" w:type="dxa"/>
            <w:gridSpan w:val="3"/>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Subcontractor’s Tax Identification Number(TIN)</w:t>
            </w:r>
          </w:p>
        </w:tc>
        <w:tc>
          <w:tcPr>
            <w:tcW w:w="4917" w:type="dxa"/>
            <w:gridSpan w:val="3"/>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p>
            <w:pPr>
              <w:pStyle w:val="Normal"/>
              <w:widowControl w:val="false"/>
              <w:spacing w:before="60" w:after="60"/>
              <w:rPr>
                <w:rFonts w:ascii="Arial" w:hAnsi="Arial" w:cs="Arial"/>
                <w:sz w:val="20"/>
                <w:lang w:val="en-GB"/>
              </w:rPr>
            </w:pPr>
            <w:r>
              <w:rPr>
                <w:rFonts w:cs="Arial" w:ascii="Arial" w:hAnsi="Arial"/>
                <w:sz w:val="20"/>
                <w:lang w:val="en-GB"/>
              </w:rPr>
            </w:r>
          </w:p>
        </w:tc>
      </w:tr>
      <w:tr>
        <w:trPr/>
        <w:tc>
          <w:tcPr>
            <w:tcW w:w="9017" w:type="dxa"/>
            <w:gridSpan w:val="8"/>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before="60" w:after="60"/>
              <w:rPr>
                <w:rFonts w:ascii="Arial" w:hAnsi="Arial" w:cs="Arial"/>
                <w:sz w:val="20"/>
                <w:lang w:val="en-GB"/>
              </w:rPr>
            </w:pPr>
            <w:r>
              <w:rPr>
                <w:rFonts w:cs="Arial" w:ascii="Arial" w:hAnsi="Arial"/>
                <w:sz w:val="20"/>
                <w:lang w:val="en-GB"/>
              </w:rPr>
              <w:t xml:space="preserve">[The foreign Subcontractors , in accordance with ITT Sub Clause </w:t>
            </w:r>
            <w:r>
              <w:rPr>
                <w:rFonts w:cs="Arial" w:ascii="Arial" w:hAnsi="Arial"/>
                <w:sz w:val="20"/>
                <w:highlight w:val="yellow"/>
                <w:lang w:val="en-GB"/>
              </w:rPr>
              <w:t>5.1,</w:t>
            </w:r>
            <w:r>
              <w:rPr>
                <w:rFonts w:cs="Arial" w:ascii="Arial" w:hAnsi="Arial"/>
                <w:sz w:val="20"/>
                <w:lang w:val="en-GB"/>
              </w:rPr>
              <w:t xml:space="preserve"> shall provide evidence  by a written declaration to that effect  to demonstrate that it meets the criterion]</w:t>
            </w:r>
          </w:p>
        </w:tc>
      </w:tr>
      <w:tr>
        <w:trPr/>
        <w:tc>
          <w:tcPr>
            <w:tcW w:w="9008"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sz w:val="20"/>
                <w:lang w:val="en-GB"/>
              </w:rPr>
            </w:pPr>
            <w:r>
              <w:rPr>
                <w:rFonts w:cs="Arial" w:ascii="Arial" w:hAnsi="Arial"/>
                <w:sz w:val="20"/>
                <w:lang w:val="en-GB"/>
              </w:rPr>
              <w:t xml:space="preserve">2.  Key Activity(ies) for which it is intended to be Subcontracted [ITT Sub Clause </w:t>
            </w:r>
            <w:r>
              <w:rPr>
                <w:rFonts w:cs="Arial" w:ascii="Arial" w:hAnsi="Arial"/>
                <w:sz w:val="20"/>
                <w:highlight w:val="yellow"/>
                <w:lang w:val="en-GB"/>
              </w:rPr>
              <w:t>16.1</w:t>
            </w:r>
            <w:r>
              <w:rPr>
                <w:rFonts w:cs="Arial" w:ascii="Arial" w:hAnsi="Arial"/>
                <w:sz w:val="20"/>
                <w:lang w:val="en-GB"/>
              </w:rPr>
              <w:t>]</w:t>
            </w:r>
          </w:p>
        </w:tc>
        <w:tc>
          <w:tcPr>
            <w:tcW w:w="9" w:type="dxa"/>
            <w:tcBorders/>
          </w:tcPr>
          <w:p>
            <w:pPr>
              <w:pStyle w:val="Normal"/>
              <w:widowControl w:val="false"/>
              <w:rPr>
                <w:rFonts w:ascii="Arial" w:hAnsi="Arial" w:cs="Arial"/>
                <w:i/>
                <w:i/>
                <w:iCs/>
                <w:lang w:val="en-GB"/>
              </w:rPr>
            </w:pPr>
            <w:r>
              <w:rPr>
                <w:rFonts w:cs="Arial" w:ascii="Arial" w:hAnsi="Arial"/>
                <w:i/>
                <w:iCs/>
                <w:lang w:val="en-GB"/>
              </w:rPr>
            </w:r>
          </w:p>
        </w:tc>
      </w:tr>
      <w:tr>
        <w:trPr/>
        <w:tc>
          <w:tcPr>
            <w:tcW w:w="60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2.1</w:t>
            </w:r>
          </w:p>
        </w:tc>
        <w:tc>
          <w:tcPr>
            <w:tcW w:w="347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Elements of Activity</w:t>
            </w:r>
          </w:p>
        </w:tc>
        <w:tc>
          <w:tcPr>
            <w:tcW w:w="492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Brief description of Activity</w:t>
            </w:r>
          </w:p>
        </w:tc>
        <w:tc>
          <w:tcPr>
            <w:tcW w:w="9" w:type="dxa"/>
            <w:tcBorders/>
          </w:tcPr>
          <w:p>
            <w:pPr>
              <w:pStyle w:val="Normal"/>
              <w:widowControl w:val="false"/>
              <w:rPr>
                <w:rFonts w:ascii="Arial" w:hAnsi="Arial" w:cs="Arial"/>
                <w:i/>
                <w:i/>
                <w:iCs/>
                <w:lang w:val="en-GB"/>
              </w:rPr>
            </w:pPr>
            <w:r>
              <w:rPr>
                <w:rFonts w:cs="Arial" w:ascii="Arial" w:hAnsi="Arial"/>
                <w:i/>
                <w:iCs/>
                <w:lang w:val="en-GB"/>
              </w:rPr>
            </w:r>
          </w:p>
        </w:tc>
      </w:tr>
      <w:tr>
        <w:trPr/>
        <w:tc>
          <w:tcPr>
            <w:tcW w:w="60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347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492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9" w:type="dxa"/>
            <w:tcBorders/>
          </w:tcPr>
          <w:p>
            <w:pPr>
              <w:pStyle w:val="Normal"/>
              <w:widowControl w:val="false"/>
              <w:rPr>
                <w:rFonts w:ascii="Arial" w:hAnsi="Arial" w:cs="Arial"/>
                <w:i/>
                <w:i/>
                <w:iCs/>
                <w:lang w:val="en-GB"/>
              </w:rPr>
            </w:pPr>
            <w:r>
              <w:rPr>
                <w:rFonts w:cs="Arial" w:ascii="Arial" w:hAnsi="Arial"/>
                <w:i/>
                <w:iCs/>
                <w:lang w:val="en-GB"/>
              </w:rPr>
            </w:r>
          </w:p>
        </w:tc>
      </w:tr>
      <w:tr>
        <w:trPr/>
        <w:tc>
          <w:tcPr>
            <w:tcW w:w="60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347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492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9" w:type="dxa"/>
            <w:tcBorders/>
          </w:tcPr>
          <w:p>
            <w:pPr>
              <w:pStyle w:val="Normal"/>
              <w:widowControl w:val="false"/>
              <w:rPr>
                <w:rFonts w:ascii="Arial" w:hAnsi="Arial" w:cs="Arial"/>
                <w:i/>
                <w:i/>
                <w:iCs/>
                <w:lang w:val="en-GB"/>
              </w:rPr>
            </w:pPr>
            <w:r>
              <w:rPr>
                <w:rFonts w:cs="Arial" w:ascii="Arial" w:hAnsi="Arial"/>
                <w:i/>
                <w:iCs/>
                <w:lang w:val="en-GB"/>
              </w:rPr>
            </w:r>
          </w:p>
        </w:tc>
      </w:tr>
      <w:tr>
        <w:trPr/>
        <w:tc>
          <w:tcPr>
            <w:tcW w:w="603" w:type="dxa"/>
            <w:tcBorders>
              <w:top w:val="single" w:sz="4" w:space="0" w:color="000000"/>
              <w:left w:val="single" w:sz="4" w:space="0" w:color="000000"/>
              <w:bottom w:val="single" w:sz="6"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2.2</w:t>
            </w:r>
          </w:p>
        </w:tc>
        <w:tc>
          <w:tcPr>
            <w:tcW w:w="8405" w:type="dxa"/>
            <w:gridSpan w:val="6"/>
            <w:tcBorders>
              <w:top w:val="single" w:sz="4" w:space="0" w:color="000000"/>
              <w:left w:val="single" w:sz="4" w:space="0" w:color="000000"/>
              <w:bottom w:val="single" w:sz="6" w:space="0" w:color="000000"/>
              <w:right w:val="single" w:sz="4"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List of Similar Contracts in which the proposed  Subcontractor had been engaged</w:t>
            </w:r>
          </w:p>
        </w:tc>
        <w:tc>
          <w:tcPr>
            <w:tcW w:w="9" w:type="dxa"/>
            <w:tcBorders/>
          </w:tcPr>
          <w:p>
            <w:pPr>
              <w:pStyle w:val="Normal"/>
              <w:widowControl w:val="false"/>
              <w:rPr>
                <w:rFonts w:ascii="Arial" w:hAnsi="Arial" w:cs="Arial"/>
                <w:i/>
                <w:i/>
                <w:iCs/>
                <w:lang w:val="en-GB"/>
              </w:rPr>
            </w:pPr>
            <w:r>
              <w:rPr>
                <w:rFonts w:cs="Arial" w:ascii="Arial" w:hAnsi="Arial"/>
                <w:i/>
                <w:iCs/>
                <w:lang w:val="en-GB"/>
              </w:rPr>
            </w:r>
          </w:p>
        </w:tc>
      </w:tr>
      <w:tr>
        <w:trPr>
          <w:cantSplit w:val="true"/>
        </w:trPr>
        <w:tc>
          <w:tcPr>
            <w:tcW w:w="603"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2158"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Name of Contract and Year of Execution</w:t>
            </w:r>
          </w:p>
        </w:tc>
        <w:tc>
          <w:tcPr>
            <w:tcW w:w="6247"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9" w:type="dxa"/>
            <w:tcBorders/>
          </w:tcPr>
          <w:p>
            <w:pPr>
              <w:pStyle w:val="Normal"/>
              <w:widowControl w:val="false"/>
              <w:rPr>
                <w:rFonts w:ascii="Arial" w:hAnsi="Arial" w:cs="Arial"/>
                <w:i/>
                <w:i/>
                <w:iCs/>
                <w:lang w:val="en-GB"/>
              </w:rPr>
            </w:pPr>
            <w:r>
              <w:rPr>
                <w:rFonts w:cs="Arial" w:ascii="Arial" w:hAnsi="Arial"/>
                <w:i/>
                <w:iCs/>
                <w:lang w:val="en-GB"/>
              </w:rPr>
            </w:r>
          </w:p>
        </w:tc>
      </w:tr>
      <w:tr>
        <w:trPr>
          <w:cantSplit w:val="true"/>
        </w:trPr>
        <w:tc>
          <w:tcPr>
            <w:tcW w:w="60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2158"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Value of Contract</w:t>
            </w:r>
          </w:p>
        </w:tc>
        <w:tc>
          <w:tcPr>
            <w:tcW w:w="6247"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9" w:type="dxa"/>
            <w:tcBorders/>
          </w:tcPr>
          <w:p>
            <w:pPr>
              <w:pStyle w:val="Normal"/>
              <w:widowControl w:val="false"/>
              <w:rPr>
                <w:rFonts w:ascii="Arial" w:hAnsi="Arial" w:cs="Arial"/>
                <w:i/>
                <w:i/>
                <w:iCs/>
                <w:lang w:val="en-GB"/>
              </w:rPr>
            </w:pPr>
            <w:r>
              <w:rPr>
                <w:rFonts w:cs="Arial" w:ascii="Arial" w:hAnsi="Arial"/>
                <w:i/>
                <w:iCs/>
                <w:lang w:val="en-GB"/>
              </w:rPr>
            </w:r>
          </w:p>
        </w:tc>
      </w:tr>
      <w:tr>
        <w:trPr>
          <w:cantSplit w:val="true"/>
        </w:trPr>
        <w:tc>
          <w:tcPr>
            <w:tcW w:w="60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2158"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jc w:val="both"/>
              <w:rPr>
                <w:rFonts w:ascii="Arial" w:hAnsi="Arial" w:cs="Arial"/>
                <w:sz w:val="20"/>
                <w:lang w:val="en-GB"/>
              </w:rPr>
            </w:pPr>
            <w:r>
              <w:rPr>
                <w:rFonts w:cs="Arial" w:ascii="Arial" w:hAnsi="Arial"/>
                <w:sz w:val="20"/>
                <w:lang w:val="en-GB"/>
              </w:rPr>
              <w:t>Name of Procuring Entity</w:t>
            </w:r>
          </w:p>
        </w:tc>
        <w:tc>
          <w:tcPr>
            <w:tcW w:w="4201" w:type="dxa"/>
            <w:gridSpan w:val="3"/>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2046" w:type="dxa"/>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9" w:type="dxa"/>
            <w:tcBorders/>
          </w:tcPr>
          <w:p>
            <w:pPr>
              <w:pStyle w:val="Normal"/>
              <w:widowControl w:val="false"/>
              <w:rPr>
                <w:rFonts w:ascii="Arial" w:hAnsi="Arial" w:cs="Arial"/>
                <w:i/>
                <w:i/>
                <w:iCs/>
                <w:lang w:val="en-GB"/>
              </w:rPr>
            </w:pPr>
            <w:r>
              <w:rPr>
                <w:rFonts w:cs="Arial" w:ascii="Arial" w:hAnsi="Arial"/>
                <w:i/>
                <w:iCs/>
                <w:lang w:val="en-GB"/>
              </w:rPr>
            </w:r>
          </w:p>
        </w:tc>
      </w:tr>
      <w:tr>
        <w:trPr>
          <w:cantSplit w:val="true"/>
        </w:trPr>
        <w:tc>
          <w:tcPr>
            <w:tcW w:w="60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2158"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Contact Person and contact details</w:t>
            </w:r>
          </w:p>
        </w:tc>
        <w:tc>
          <w:tcPr>
            <w:tcW w:w="4201" w:type="dxa"/>
            <w:gridSpan w:val="3"/>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2046" w:type="dxa"/>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9" w:type="dxa"/>
            <w:tcBorders/>
          </w:tcPr>
          <w:p>
            <w:pPr>
              <w:pStyle w:val="Normal"/>
              <w:widowControl w:val="false"/>
              <w:rPr>
                <w:rFonts w:ascii="Arial" w:hAnsi="Arial" w:cs="Arial"/>
                <w:i/>
                <w:i/>
                <w:iCs/>
                <w:lang w:val="en-GB"/>
              </w:rPr>
            </w:pPr>
            <w:r>
              <w:rPr>
                <w:rFonts w:cs="Arial" w:ascii="Arial" w:hAnsi="Arial"/>
                <w:i/>
                <w:iCs/>
                <w:lang w:val="en-GB"/>
              </w:rPr>
            </w:r>
          </w:p>
        </w:tc>
      </w:tr>
      <w:tr>
        <w:trPr>
          <w:cantSplit w:val="true"/>
        </w:trPr>
        <w:tc>
          <w:tcPr>
            <w:tcW w:w="60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2158"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t>Type of Work performed</w:t>
            </w:r>
          </w:p>
        </w:tc>
        <w:tc>
          <w:tcPr>
            <w:tcW w:w="4201" w:type="dxa"/>
            <w:gridSpan w:val="3"/>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2046" w:type="dxa"/>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Arial" w:hAnsi="Arial" w:cs="Arial"/>
                <w:sz w:val="20"/>
                <w:lang w:val="en-GB"/>
              </w:rPr>
            </w:pPr>
            <w:r>
              <w:rPr>
                <w:rFonts w:cs="Arial" w:ascii="Arial" w:hAnsi="Arial"/>
                <w:sz w:val="20"/>
                <w:lang w:val="en-GB"/>
              </w:rPr>
            </w:r>
          </w:p>
        </w:tc>
        <w:tc>
          <w:tcPr>
            <w:tcW w:w="9" w:type="dxa"/>
            <w:tcBorders/>
          </w:tcPr>
          <w:p>
            <w:pPr>
              <w:pStyle w:val="Normal"/>
              <w:widowControl w:val="false"/>
              <w:rPr>
                <w:rFonts w:ascii="Arial" w:hAnsi="Arial" w:cs="Arial"/>
                <w:i/>
                <w:i/>
                <w:iCs/>
                <w:lang w:val="en-GB"/>
              </w:rPr>
            </w:pPr>
            <w:r>
              <w:rPr>
                <w:rFonts w:cs="Arial" w:ascii="Arial" w:hAnsi="Arial"/>
                <w:i/>
                <w:iCs/>
                <w:lang w:val="en-GB"/>
              </w:rPr>
            </w:r>
          </w:p>
        </w:tc>
      </w:tr>
    </w:tbl>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pStyle w:val="Normal"/>
        <w:rPr>
          <w:rFonts w:ascii="Arial" w:hAnsi="Arial" w:cs="Arial"/>
          <w:sz w:val="21"/>
          <w:szCs w:val="21"/>
          <w:lang w:val="en-GB"/>
        </w:rPr>
      </w:pPr>
      <w:r>
        <w:rPr>
          <w:rFonts w:cs="Arial" w:ascii="Arial" w:hAnsi="Arial"/>
          <w:sz w:val="21"/>
          <w:szCs w:val="21"/>
          <w:lang w:val="en-GB"/>
        </w:rPr>
      </w:r>
    </w:p>
    <w:p>
      <w:pPr>
        <w:sectPr>
          <w:footerReference w:type="default" r:id="rId6"/>
          <w:type w:val="nextPage"/>
          <w:pgSz w:w="11906" w:h="16838"/>
          <w:pgMar w:left="1440" w:right="1440" w:gutter="0" w:header="0" w:top="1440" w:footer="720" w:bottom="1440"/>
          <w:pgNumType w:fmt="decimal"/>
          <w:formProt w:val="false"/>
          <w:textDirection w:val="lrTb"/>
          <w:docGrid w:type="default" w:linePitch="100" w:charSpace="0"/>
        </w:sectPr>
        <w:pStyle w:val="Normal"/>
        <w:rPr>
          <w:rFonts w:ascii="Arial" w:hAnsi="Arial" w:cs="Arial"/>
          <w:sz w:val="21"/>
          <w:szCs w:val="21"/>
          <w:lang w:val="en-GB"/>
        </w:rPr>
      </w:pPr>
      <w:r>
        <w:rPr>
          <w:rFonts w:cs="Arial" w:ascii="Arial" w:hAnsi="Arial"/>
          <w:sz w:val="21"/>
          <w:szCs w:val="21"/>
          <w:lang w:val="en-GB"/>
        </w:rPr>
      </w:r>
    </w:p>
    <w:p>
      <w:pPr>
        <w:pStyle w:val="Heading2"/>
        <w:rPr>
          <w:rFonts w:ascii="Arial" w:hAnsi="Arial"/>
          <w:lang w:val="en-GB"/>
        </w:rPr>
      </w:pPr>
      <w:bookmarkStart w:id="791" w:name="_Toc421454328"/>
      <w:r>
        <w:rPr>
          <w:rFonts w:ascii="Arial" w:hAnsi="Arial"/>
          <w:lang w:val="en-GB"/>
        </w:rPr>
        <w:t>Price Schedule for Goods (Form PG3-4A)</w:t>
      </w:r>
      <w:bookmarkEnd w:id="791"/>
    </w:p>
    <w:p>
      <w:pPr>
        <w:pStyle w:val="Normal"/>
        <w:rPr>
          <w:rFonts w:ascii="Arial" w:hAnsi="Arial" w:cs="Arial"/>
          <w:sz w:val="22"/>
          <w:szCs w:val="22"/>
          <w:lang w:val="en-GB"/>
        </w:rPr>
      </w:pPr>
      <w:r>
        <w:rPr>
          <w:rFonts w:cs="Arial" w:ascii="Arial" w:hAnsi="Arial"/>
          <w:sz w:val="22"/>
          <w:szCs w:val="22"/>
          <w:lang w:val="en-GB"/>
        </w:rPr>
      </w:r>
    </w:p>
    <w:tbl>
      <w:tblPr>
        <w:tblW w:w="14058" w:type="dxa"/>
        <w:jc w:val="left"/>
        <w:tblInd w:w="0" w:type="dxa"/>
        <w:tblLayout w:type="fixed"/>
        <w:tblCellMar>
          <w:top w:w="0" w:type="dxa"/>
          <w:left w:w="108" w:type="dxa"/>
          <w:bottom w:w="0" w:type="dxa"/>
          <w:right w:w="108" w:type="dxa"/>
        </w:tblCellMar>
        <w:tblLook w:val="01e0" w:noHBand="0" w:noVBand="0" w:firstColumn="1" w:lastRow="1" w:lastColumn="1" w:firstRow="1"/>
      </w:tblPr>
      <w:tblGrid>
        <w:gridCol w:w="2627"/>
        <w:gridCol w:w="2521"/>
        <w:gridCol w:w="1746"/>
        <w:gridCol w:w="7163"/>
      </w:tblGrid>
      <w:tr>
        <w:trPr/>
        <w:tc>
          <w:tcPr>
            <w:tcW w:w="2627" w:type="dxa"/>
            <w:tcBorders>
              <w:top w:val="single" w:sz="6" w:space="0" w:color="000000"/>
              <w:left w:val="single" w:sz="6" w:space="0" w:color="000000"/>
              <w:bottom w:val="single" w:sz="6" w:space="0" w:color="000000"/>
              <w:right w:val="single" w:sz="6" w:space="0" w:color="000000"/>
            </w:tcBorders>
          </w:tcPr>
          <w:p>
            <w:pPr>
              <w:pStyle w:val="Normal"/>
              <w:widowControl w:val="false"/>
              <w:rPr>
                <w:rFonts w:ascii="Arial" w:hAnsi="Arial" w:cs="Arial"/>
                <w:sz w:val="22"/>
                <w:szCs w:val="22"/>
                <w:lang w:val="en-GB"/>
              </w:rPr>
            </w:pPr>
            <w:r>
              <w:rPr>
                <w:rFonts w:cs="Arial" w:ascii="Arial" w:hAnsi="Arial"/>
                <w:sz w:val="22"/>
                <w:szCs w:val="22"/>
                <w:lang w:val="en-GB"/>
              </w:rPr>
              <w:t>Invitation for Tender No:</w:t>
            </w:r>
          </w:p>
        </w:tc>
        <w:tc>
          <w:tcPr>
            <w:tcW w:w="2521" w:type="dxa"/>
            <w:tcBorders>
              <w:top w:val="single" w:sz="6" w:space="0" w:color="000000"/>
              <w:left w:val="single" w:sz="6" w:space="0" w:color="000000"/>
              <w:bottom w:val="single" w:sz="6" w:space="0" w:color="000000"/>
              <w:right w:val="single" w:sz="6" w:space="0" w:color="000000"/>
            </w:tcBorders>
          </w:tcPr>
          <w:p>
            <w:pPr>
              <w:pStyle w:val="Normal"/>
              <w:widowControl w:val="false"/>
              <w:ind w:left="-107" w:right="-101" w:hanging="0"/>
              <w:rPr>
                <w:rFonts w:ascii="Arial" w:hAnsi="Arial" w:cs="Arial"/>
                <w:spacing w:val="-6"/>
                <w:w w:val="90"/>
                <w:sz w:val="22"/>
                <w:lang w:val="en-GB"/>
              </w:rPr>
            </w:pPr>
            <w:r>
              <w:rPr>
                <w:rFonts w:eastAsia="Times New Roman" w:cs="Arial" w:ascii="Arial" w:hAnsi="Arial"/>
                <w:b/>
                <w:spacing w:val="-6"/>
                <w:w w:val="90"/>
                <w:sz w:val="22"/>
                <w:lang w:val="en-GB"/>
              </w:rPr>
              <w:t>DU/CAO/OTM/2023/147/001</w:t>
            </w:r>
          </w:p>
        </w:tc>
        <w:tc>
          <w:tcPr>
            <w:tcW w:w="1746" w:type="dxa"/>
            <w:tcBorders>
              <w:top w:val="single" w:sz="6" w:space="0" w:color="000000"/>
              <w:left w:val="single" w:sz="6" w:space="0" w:color="000000"/>
              <w:bottom w:val="single" w:sz="6" w:space="0" w:color="000000"/>
              <w:right w:val="single" w:sz="6" w:space="0" w:color="000000"/>
            </w:tcBorders>
          </w:tcPr>
          <w:p>
            <w:pPr>
              <w:pStyle w:val="Normal"/>
              <w:widowControl w:val="false"/>
              <w:rPr>
                <w:rFonts w:ascii="Arial" w:hAnsi="Arial" w:cs="Arial"/>
                <w:sz w:val="22"/>
                <w:szCs w:val="22"/>
                <w:lang w:val="en-GB"/>
              </w:rPr>
            </w:pPr>
            <w:r>
              <w:rPr>
                <w:rFonts w:cs="Arial" w:ascii="Arial" w:hAnsi="Arial"/>
                <w:sz w:val="22"/>
                <w:szCs w:val="22"/>
                <w:lang w:val="en-GB"/>
              </w:rPr>
              <w:t>Date:</w:t>
            </w:r>
          </w:p>
        </w:tc>
        <w:tc>
          <w:tcPr>
            <w:tcW w:w="7163" w:type="dxa"/>
            <w:tcBorders>
              <w:top w:val="single" w:sz="6" w:space="0" w:color="000000"/>
              <w:left w:val="single" w:sz="6" w:space="0" w:color="000000"/>
              <w:bottom w:val="single" w:sz="6" w:space="0" w:color="000000"/>
              <w:right w:val="single" w:sz="6" w:space="0" w:color="000000"/>
            </w:tcBorders>
          </w:tcPr>
          <w:p>
            <w:pPr>
              <w:pStyle w:val="Normal"/>
              <w:widowControl w:val="false"/>
              <w:rPr>
                <w:rFonts w:ascii="Arial" w:hAnsi="Arial" w:cs="Arial"/>
                <w:sz w:val="22"/>
                <w:szCs w:val="22"/>
                <w:lang w:val="en-GB"/>
              </w:rPr>
            </w:pPr>
            <w:r>
              <w:rPr>
                <w:rFonts w:eastAsia="Times New Roman" w:cs="Arial" w:ascii="Arial" w:hAnsi="Arial"/>
                <w:b/>
                <w:sz w:val="20"/>
                <w:szCs w:val="22"/>
                <w:lang w:val="en-GB"/>
              </w:rPr>
              <w:t>15.02.2023</w:t>
            </w:r>
          </w:p>
        </w:tc>
      </w:tr>
      <w:tr>
        <w:trPr/>
        <w:tc>
          <w:tcPr>
            <w:tcW w:w="2627" w:type="dxa"/>
            <w:tcBorders>
              <w:top w:val="single" w:sz="6" w:space="0" w:color="000000"/>
              <w:left w:val="single" w:sz="6" w:space="0" w:color="000000"/>
              <w:bottom w:val="single" w:sz="6" w:space="0" w:color="000000"/>
              <w:right w:val="single" w:sz="6" w:space="0" w:color="000000"/>
            </w:tcBorders>
          </w:tcPr>
          <w:p>
            <w:pPr>
              <w:pStyle w:val="Normal"/>
              <w:widowControl w:val="false"/>
              <w:rPr>
                <w:rFonts w:ascii="Arial" w:hAnsi="Arial" w:cs="Arial"/>
                <w:color w:val="auto"/>
                <w:sz w:val="22"/>
                <w:szCs w:val="22"/>
                <w:lang w:val="en-GB"/>
              </w:rPr>
            </w:pPr>
            <w:r>
              <w:rPr>
                <w:rFonts w:cs="Arial" w:ascii="Arial" w:hAnsi="Arial"/>
                <w:color w:val="auto"/>
                <w:sz w:val="22"/>
                <w:szCs w:val="22"/>
                <w:lang w:val="en-GB"/>
              </w:rPr>
              <w:t>Tender Package No:</w:t>
            </w:r>
          </w:p>
        </w:tc>
        <w:tc>
          <w:tcPr>
            <w:tcW w:w="2521" w:type="dxa"/>
            <w:tcBorders>
              <w:top w:val="single" w:sz="6" w:space="0" w:color="000000"/>
              <w:left w:val="single" w:sz="6" w:space="0" w:color="000000"/>
              <w:bottom w:val="single" w:sz="6" w:space="0" w:color="000000"/>
              <w:right w:val="single" w:sz="6" w:space="0" w:color="000000"/>
            </w:tcBorders>
          </w:tcPr>
          <w:p>
            <w:pPr>
              <w:pStyle w:val="Normal"/>
              <w:widowControl w:val="false"/>
              <w:ind w:left="-107" w:hanging="0"/>
              <w:rPr>
                <w:rFonts w:ascii="Arial" w:hAnsi="Arial" w:cs="Arial"/>
                <w:color w:val="auto"/>
                <w:sz w:val="22"/>
                <w:szCs w:val="22"/>
                <w:lang w:val="en-GB"/>
              </w:rPr>
            </w:pPr>
            <w:r>
              <w:rPr>
                <w:rFonts w:cs="Arial" w:ascii="Arial" w:hAnsi="Arial"/>
                <w:color w:val="auto"/>
                <w:sz w:val="22"/>
                <w:szCs w:val="22"/>
                <w:lang w:val="en-GB"/>
              </w:rPr>
              <w:t>G/CAO/2023/01</w:t>
            </w:r>
          </w:p>
        </w:tc>
        <w:tc>
          <w:tcPr>
            <w:tcW w:w="1746" w:type="dxa"/>
            <w:tcBorders>
              <w:top w:val="single" w:sz="6" w:space="0" w:color="000000"/>
              <w:left w:val="single" w:sz="6" w:space="0" w:color="000000"/>
              <w:bottom w:val="single" w:sz="6" w:space="0" w:color="000000"/>
              <w:right w:val="single" w:sz="6" w:space="0" w:color="000000"/>
            </w:tcBorders>
          </w:tcPr>
          <w:p>
            <w:pPr>
              <w:pStyle w:val="Normal"/>
              <w:widowControl w:val="false"/>
              <w:rPr>
                <w:rFonts w:ascii="Arial" w:hAnsi="Arial" w:cs="Arial"/>
                <w:color w:val="auto"/>
                <w:sz w:val="22"/>
                <w:szCs w:val="22"/>
                <w:lang w:val="en-GB"/>
              </w:rPr>
            </w:pPr>
            <w:r>
              <w:rPr>
                <w:rFonts w:cs="Arial" w:ascii="Arial" w:hAnsi="Arial"/>
                <w:color w:val="auto"/>
                <w:sz w:val="22"/>
                <w:szCs w:val="22"/>
                <w:lang w:val="en-GB"/>
              </w:rPr>
              <w:t>Package Description:</w:t>
            </w:r>
          </w:p>
        </w:tc>
        <w:tc>
          <w:tcPr>
            <w:tcW w:w="7163" w:type="dxa"/>
            <w:tcBorders>
              <w:top w:val="single" w:sz="6" w:space="0" w:color="000000"/>
              <w:left w:val="single" w:sz="6" w:space="0" w:color="000000"/>
              <w:bottom w:val="single" w:sz="6" w:space="0" w:color="000000"/>
              <w:right w:val="single" w:sz="6" w:space="0" w:color="000000"/>
            </w:tcBorders>
          </w:tcPr>
          <w:p>
            <w:pPr>
              <w:pStyle w:val="Normal"/>
              <w:widowControl w:val="false"/>
              <w:jc w:val="center"/>
              <w:rPr>
                <w:rFonts w:ascii="Arial" w:hAnsi="Arial" w:cs="Arial"/>
                <w:b w:val="false"/>
                <w:b w:val="false"/>
                <w:bCs w:val="false"/>
                <w:color w:val="auto"/>
                <w:sz w:val="22"/>
                <w:szCs w:val="32"/>
                <w:lang w:val="en-GB"/>
              </w:rPr>
            </w:pPr>
            <w:r>
              <w:rPr>
                <w:rFonts w:cs="Arial" w:ascii="Arial" w:hAnsi="Arial"/>
                <w:b w:val="false"/>
                <w:bCs w:val="false"/>
                <w:color w:val="auto"/>
                <w:sz w:val="22"/>
                <w:szCs w:val="32"/>
                <w:lang w:val="en-GB"/>
              </w:rPr>
              <w:t>Procurement of PVC/PET ID card printer with laminator &amp; Encoder with consumables</w:t>
            </w:r>
          </w:p>
        </w:tc>
      </w:tr>
      <w:tr>
        <w:trPr/>
        <w:tc>
          <w:tcPr>
            <w:tcW w:w="2627" w:type="dxa"/>
            <w:tcBorders>
              <w:top w:val="single" w:sz="6" w:space="0" w:color="000000"/>
              <w:left w:val="single" w:sz="6" w:space="0" w:color="000000"/>
              <w:bottom w:val="single" w:sz="6" w:space="0" w:color="000000"/>
              <w:right w:val="single" w:sz="6" w:space="0" w:color="000000"/>
            </w:tcBorders>
          </w:tcPr>
          <w:p>
            <w:pPr>
              <w:pStyle w:val="Normal"/>
              <w:widowControl w:val="false"/>
              <w:rPr>
                <w:rFonts w:ascii="Arial" w:hAnsi="Arial" w:cs="Arial"/>
                <w:color w:val="auto"/>
                <w:sz w:val="22"/>
                <w:szCs w:val="22"/>
                <w:lang w:val="en-GB"/>
              </w:rPr>
            </w:pPr>
            <w:r>
              <w:rPr>
                <w:rFonts w:cs="Arial" w:ascii="Arial" w:hAnsi="Arial"/>
                <w:color w:val="auto"/>
                <w:sz w:val="22"/>
                <w:szCs w:val="22"/>
                <w:lang w:val="en-GB"/>
              </w:rPr>
              <w:t>Tender Lot No:</w:t>
            </w:r>
          </w:p>
        </w:tc>
        <w:tc>
          <w:tcPr>
            <w:tcW w:w="2521" w:type="dxa"/>
            <w:tcBorders>
              <w:top w:val="single" w:sz="6" w:space="0" w:color="000000"/>
              <w:left w:val="single" w:sz="6" w:space="0" w:color="000000"/>
              <w:bottom w:val="single" w:sz="6" w:space="0" w:color="000000"/>
              <w:right w:val="single" w:sz="6" w:space="0" w:color="000000"/>
            </w:tcBorders>
          </w:tcPr>
          <w:p>
            <w:pPr>
              <w:pStyle w:val="Normal"/>
              <w:widowControl w:val="false"/>
              <w:rPr>
                <w:rFonts w:ascii="Arial" w:hAnsi="Arial" w:cs="Arial"/>
                <w:color w:val="auto"/>
                <w:sz w:val="22"/>
                <w:szCs w:val="22"/>
                <w:lang w:val="en-GB"/>
              </w:rPr>
            </w:pPr>
            <w:r>
              <w:rPr>
                <w:rFonts w:cs="Arial" w:ascii="Arial" w:hAnsi="Arial"/>
                <w:color w:val="auto"/>
                <w:sz w:val="22"/>
                <w:szCs w:val="22"/>
                <w:lang w:val="en-GB"/>
              </w:rPr>
              <w:t>1, 2</w:t>
            </w:r>
          </w:p>
        </w:tc>
        <w:tc>
          <w:tcPr>
            <w:tcW w:w="1746" w:type="dxa"/>
            <w:tcBorders>
              <w:top w:val="single" w:sz="6" w:space="0" w:color="000000"/>
              <w:left w:val="single" w:sz="6" w:space="0" w:color="000000"/>
              <w:bottom w:val="single" w:sz="6" w:space="0" w:color="000000"/>
              <w:right w:val="single" w:sz="6" w:space="0" w:color="000000"/>
            </w:tcBorders>
          </w:tcPr>
          <w:p>
            <w:pPr>
              <w:pStyle w:val="Normal"/>
              <w:widowControl w:val="false"/>
              <w:rPr>
                <w:rFonts w:ascii="Arial" w:hAnsi="Arial" w:cs="Arial"/>
                <w:color w:val="auto"/>
                <w:sz w:val="22"/>
                <w:szCs w:val="22"/>
                <w:lang w:val="en-GB"/>
              </w:rPr>
            </w:pPr>
            <w:r>
              <w:rPr>
                <w:rFonts w:cs="Arial" w:ascii="Arial" w:hAnsi="Arial"/>
                <w:color w:val="auto"/>
                <w:sz w:val="22"/>
                <w:szCs w:val="22"/>
                <w:lang w:val="en-GB"/>
              </w:rPr>
              <w:t>Lot Description:</w:t>
            </w:r>
          </w:p>
        </w:tc>
        <w:tc>
          <w:tcPr>
            <w:tcW w:w="7163" w:type="dxa"/>
            <w:tcBorders>
              <w:top w:val="single" w:sz="6" w:space="0" w:color="000000"/>
              <w:left w:val="single" w:sz="6" w:space="0" w:color="000000"/>
              <w:bottom w:val="single" w:sz="6" w:space="0" w:color="000000"/>
              <w:right w:val="single" w:sz="6" w:space="0" w:color="000000"/>
            </w:tcBorders>
          </w:tcPr>
          <w:p>
            <w:pPr>
              <w:pStyle w:val="Title"/>
              <w:widowControl w:val="false"/>
              <w:ind w:left="702" w:hanging="702"/>
              <w:jc w:val="left"/>
              <w:rPr>
                <w:rFonts w:ascii="Arial" w:hAnsi="Arial" w:cs="Arial"/>
                <w:color w:val="auto"/>
                <w:sz w:val="22"/>
                <w:lang w:val="en-GB"/>
              </w:rPr>
            </w:pPr>
            <w:r>
              <w:rPr>
                <w:rFonts w:cs="Arial" w:ascii="Arial" w:hAnsi="Arial"/>
                <w:b w:val="false"/>
                <w:color w:val="auto"/>
                <w:sz w:val="22"/>
                <w:szCs w:val="22"/>
                <w:lang w:val="en-GB"/>
              </w:rPr>
              <w:t xml:space="preserve">Lot 1 - </w:t>
            </w:r>
            <w:r>
              <w:rPr>
                <w:rFonts w:cs="Arial" w:ascii="Arial" w:hAnsi="Arial"/>
                <w:b w:val="false"/>
                <w:color w:val="auto"/>
                <w:sz w:val="22"/>
                <w:szCs w:val="32"/>
                <w:lang w:val="en-GB"/>
              </w:rPr>
              <w:t>PVC/PET ID card printer with laminator &amp; Encoder, Registered lamination film (Hologram Patch Roll), Color Ribbon, Cleaning Kit</w:t>
            </w:r>
          </w:p>
          <w:p>
            <w:pPr>
              <w:pStyle w:val="Normal"/>
              <w:widowControl w:val="false"/>
              <w:rPr>
                <w:rFonts w:ascii="Arial" w:hAnsi="Arial" w:cs="Arial"/>
                <w:color w:val="auto"/>
                <w:sz w:val="22"/>
                <w:szCs w:val="32"/>
                <w:lang w:val="en-GB"/>
              </w:rPr>
            </w:pPr>
            <w:r>
              <w:rPr>
                <w:rFonts w:cs="Arial" w:ascii="Arial" w:hAnsi="Arial"/>
                <w:color w:val="auto"/>
                <w:sz w:val="22"/>
                <w:szCs w:val="32"/>
                <w:lang w:val="en-GB"/>
              </w:rPr>
              <w:t>Lot 2 - Contactless NFC PVC Card (8K)</w:t>
            </w:r>
          </w:p>
        </w:tc>
      </w:tr>
    </w:tbl>
    <w:p>
      <w:pPr>
        <w:pStyle w:val="Normal"/>
        <w:rPr>
          <w:rFonts w:ascii="Arial" w:hAnsi="Arial" w:cs="Arial"/>
          <w:sz w:val="22"/>
          <w:szCs w:val="22"/>
          <w:lang w:val="en-GB"/>
        </w:rPr>
      </w:pPr>
      <w:r>
        <w:rPr>
          <w:rFonts w:cs="Arial" w:ascii="Arial" w:hAnsi="Arial"/>
          <w:sz w:val="22"/>
          <w:szCs w:val="22"/>
          <w:lang w:val="en-GB"/>
        </w:rPr>
      </w:r>
    </w:p>
    <w:p>
      <w:pPr>
        <w:pStyle w:val="Normal"/>
        <w:suppressAutoHyphens w:val="true"/>
        <w:rPr>
          <w:rFonts w:ascii="Arial" w:hAnsi="Arial" w:cs="Arial"/>
          <w:b/>
          <w:b/>
          <w:bCs/>
          <w:sz w:val="22"/>
          <w:szCs w:val="22"/>
          <w:lang w:val="en-GB"/>
        </w:rPr>
      </w:pPr>
      <w:r>
        <w:rPr>
          <w:rFonts w:cs="Arial" w:ascii="Arial" w:hAnsi="Arial"/>
          <w:b/>
          <w:bCs/>
          <w:sz w:val="22"/>
          <w:szCs w:val="22"/>
          <w:lang w:val="en-GB"/>
        </w:rPr>
        <w:t>A: PRICE OF GOODS (Including Spare Parts, if any) AND DELIVERY SCHEDULE</w:t>
      </w:r>
    </w:p>
    <w:p>
      <w:pPr>
        <w:pStyle w:val="Normal"/>
        <w:suppressAutoHyphens w:val="true"/>
        <w:rPr>
          <w:rFonts w:ascii="Arial" w:hAnsi="Arial" w:cs="Arial"/>
          <w:b/>
          <w:b/>
          <w:bCs/>
          <w:sz w:val="22"/>
          <w:szCs w:val="22"/>
          <w:lang w:val="en-GB"/>
        </w:rPr>
      </w:pPr>
      <w:r>
        <w:rPr>
          <w:rFonts w:cs="Arial" w:ascii="Arial" w:hAnsi="Arial"/>
          <w:b/>
          <w:bCs/>
          <w:sz w:val="22"/>
          <w:szCs w:val="22"/>
          <w:lang w:val="en-GB"/>
        </w:rPr>
      </w:r>
    </w:p>
    <w:tbl>
      <w:tblPr>
        <w:tblW w:w="14020" w:type="dxa"/>
        <w:jc w:val="left"/>
        <w:tblInd w:w="0" w:type="dxa"/>
        <w:tblLayout w:type="fixed"/>
        <w:tblCellMar>
          <w:top w:w="0" w:type="dxa"/>
          <w:left w:w="72" w:type="dxa"/>
          <w:bottom w:w="0" w:type="dxa"/>
          <w:right w:w="72" w:type="dxa"/>
        </w:tblCellMar>
        <w:tblLook w:val="0000" w:noHBand="0" w:noVBand="0" w:firstColumn="0" w:lastRow="0" w:lastColumn="0" w:firstRow="0"/>
      </w:tblPr>
      <w:tblGrid>
        <w:gridCol w:w="702"/>
        <w:gridCol w:w="3689"/>
        <w:gridCol w:w="990"/>
        <w:gridCol w:w="1440"/>
        <w:gridCol w:w="1171"/>
        <w:gridCol w:w="1259"/>
        <w:gridCol w:w="1352"/>
        <w:gridCol w:w="1709"/>
        <w:gridCol w:w="1708"/>
      </w:tblGrid>
      <w:tr>
        <w:trPr>
          <w:cantSplit w:val="true"/>
        </w:trPr>
        <w:tc>
          <w:tcPr>
            <w:tcW w:w="70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1</w:t>
            </w:r>
          </w:p>
        </w:tc>
        <w:tc>
          <w:tcPr>
            <w:tcW w:w="368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2</w:t>
            </w:r>
          </w:p>
        </w:tc>
        <w:tc>
          <w:tcPr>
            <w:tcW w:w="99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3</w:t>
            </w:r>
          </w:p>
        </w:tc>
        <w:tc>
          <w:tcPr>
            <w:tcW w:w="144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3</w:t>
            </w:r>
          </w:p>
        </w:tc>
        <w:tc>
          <w:tcPr>
            <w:tcW w:w="117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4</w:t>
            </w:r>
          </w:p>
        </w:tc>
        <w:tc>
          <w:tcPr>
            <w:tcW w:w="125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5</w:t>
            </w:r>
          </w:p>
        </w:tc>
        <w:tc>
          <w:tcPr>
            <w:tcW w:w="135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6</w:t>
            </w:r>
          </w:p>
        </w:tc>
        <w:tc>
          <w:tcPr>
            <w:tcW w:w="170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7</w:t>
            </w:r>
          </w:p>
        </w:tc>
        <w:tc>
          <w:tcPr>
            <w:tcW w:w="1708"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8</w:t>
            </w:r>
          </w:p>
        </w:tc>
      </w:tr>
      <w:tr>
        <w:trPr>
          <w:cantSplit w:val="true"/>
        </w:trPr>
        <w:tc>
          <w:tcPr>
            <w:tcW w:w="70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Item</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No.</w:t>
            </w:r>
          </w:p>
        </w:tc>
        <w:tc>
          <w:tcPr>
            <w:tcW w:w="368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Description</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Of Item</w:t>
            </w:r>
          </w:p>
        </w:tc>
        <w:tc>
          <w:tcPr>
            <w:tcW w:w="99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Country of</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Origin</w:t>
            </w:r>
          </w:p>
        </w:tc>
        <w:tc>
          <w:tcPr>
            <w:tcW w:w="144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 xml:space="preserve">Unit of </w:t>
            </w:r>
            <w:r>
              <w:rPr>
                <w:rFonts w:cs="Arial" w:ascii="Arial" w:hAnsi="Arial"/>
                <w:sz w:val="20"/>
                <w:szCs w:val="22"/>
                <w:lang w:val="en-GB"/>
              </w:rPr>
              <w:t>Measurement</w:t>
            </w:r>
          </w:p>
        </w:tc>
        <w:tc>
          <w:tcPr>
            <w:tcW w:w="117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Qty</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Of units</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Required</w:t>
            </w:r>
          </w:p>
        </w:tc>
        <w:tc>
          <w:tcPr>
            <w:tcW w:w="125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Unit price</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r>
          </w:p>
        </w:tc>
        <w:tc>
          <w:tcPr>
            <w:tcW w:w="135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Total price</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 xml:space="preserve">(col. 4 </w:t>
            </w:r>
            <w:r>
              <w:rPr>
                <w:rFonts w:eastAsia="Symbol" w:cs="Symbol" w:ascii="Symbol" w:hAnsi="Symbol"/>
                <w:sz w:val="22"/>
                <w:szCs w:val="22"/>
                <w:lang w:val="en-GB"/>
              </w:rPr>
              <w:t></w:t>
            </w:r>
            <w:r>
              <w:rPr>
                <w:rFonts w:cs="Arial" w:ascii="Arial" w:hAnsi="Arial"/>
                <w:sz w:val="22"/>
                <w:szCs w:val="22"/>
                <w:lang w:val="en-GB"/>
              </w:rPr>
              <w:t xml:space="preserve"> 5)</w:t>
            </w:r>
          </w:p>
        </w:tc>
        <w:tc>
          <w:tcPr>
            <w:tcW w:w="170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Point of Delivery as per Schedule of Requirement</w:t>
            </w:r>
          </w:p>
        </w:tc>
        <w:tc>
          <w:tcPr>
            <w:tcW w:w="1708"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Delivery Period</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Offered as per Schedule of Requirement</w:t>
            </w:r>
          </w:p>
        </w:tc>
      </w:tr>
      <w:tr>
        <w:trPr>
          <w:trHeight w:val="345" w:hRule="atLeast"/>
          <w:cantSplit w:val="true"/>
        </w:trPr>
        <w:tc>
          <w:tcPr>
            <w:tcW w:w="14020" w:type="dxa"/>
            <w:gridSpan w:val="9"/>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before="60" w:after="60"/>
              <w:rPr>
                <w:rFonts w:ascii="Arial" w:hAnsi="Arial" w:cs="Arial"/>
                <w:b/>
                <w:b/>
                <w:w w:val="95"/>
                <w:sz w:val="22"/>
                <w:szCs w:val="22"/>
                <w:lang w:val="en-GB"/>
              </w:rPr>
            </w:pPr>
            <w:r>
              <w:rPr>
                <w:rFonts w:cs="Arial" w:ascii="Arial" w:hAnsi="Arial"/>
                <w:b/>
                <w:w w:val="95"/>
                <w:sz w:val="22"/>
                <w:szCs w:val="22"/>
                <w:lang w:val="en-GB"/>
              </w:rPr>
              <w:t xml:space="preserve">Lot-1: </w:t>
            </w:r>
            <w:r>
              <w:rPr>
                <w:rFonts w:cs="Arial" w:ascii="Arial" w:hAnsi="Arial"/>
                <w:b/>
                <w:w w:val="95"/>
                <w:sz w:val="22"/>
                <w:szCs w:val="32"/>
                <w:lang w:val="en-GB"/>
              </w:rPr>
              <w:t>PVC/PET ID card printer with laminator &amp; Encoder, Registered lamination film (Hologram Patch Roll), Color Ribbon, Cleaning Kit</w:t>
            </w:r>
          </w:p>
        </w:tc>
      </w:tr>
      <w:tr>
        <w:trPr>
          <w:trHeight w:val="839" w:hRule="exact"/>
          <w:cantSplit w:val="true"/>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rPr>
                <w:rFonts w:ascii="Arial" w:hAnsi="Arial" w:cs="Arial"/>
                <w:sz w:val="12"/>
                <w:szCs w:val="22"/>
                <w:lang w:val="en-GB"/>
              </w:rPr>
            </w:pPr>
            <w:r>
              <w:rPr>
                <w:rFonts w:cs="Arial" w:ascii="Arial" w:hAnsi="Arial"/>
                <w:sz w:val="12"/>
                <w:szCs w:val="22"/>
                <w:lang w:val="en-GB"/>
              </w:rPr>
            </w:r>
          </w:p>
          <w:p>
            <w:pPr>
              <w:pStyle w:val="Normal"/>
              <w:widowControl w:val="false"/>
              <w:suppressAutoHyphens w:val="true"/>
              <w:snapToGrid w:val="false"/>
              <w:jc w:val="center"/>
              <w:rPr>
                <w:rFonts w:ascii="Arial" w:hAnsi="Arial" w:cs="Arial"/>
                <w:sz w:val="22"/>
                <w:szCs w:val="22"/>
                <w:lang w:val="en-GB"/>
              </w:rPr>
            </w:pPr>
            <w:r>
              <w:rPr>
                <w:rFonts w:cs="Arial" w:ascii="Arial" w:hAnsi="Arial"/>
                <w:sz w:val="22"/>
                <w:szCs w:val="22"/>
                <w:lang w:val="en-GB"/>
              </w:rPr>
              <w:t>01</w:t>
            </w:r>
          </w:p>
        </w:tc>
        <w:tc>
          <w:tcPr>
            <w:tcW w:w="3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rPr>
                <w:sz w:val="22"/>
                <w:szCs w:val="22"/>
                <w:lang w:val="en-GB"/>
              </w:rPr>
            </w:pPr>
            <w:r>
              <w:rPr>
                <w:sz w:val="22"/>
                <w:szCs w:val="22"/>
                <w:lang w:val="en-GB"/>
              </w:rPr>
              <w:t>PVC/PET ID CARD Printer with Laminator &amp; Encoder</w:t>
            </w:r>
          </w:p>
        </w:tc>
        <w:tc>
          <w:tcPr>
            <w:tcW w:w="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jc w:val="center"/>
              <w:rPr>
                <w:sz w:val="14"/>
                <w:szCs w:val="20"/>
                <w:lang w:bidi="he-IL"/>
              </w:rPr>
            </w:pPr>
            <w:r>
              <w:rPr>
                <w:sz w:val="14"/>
                <w:szCs w:val="20"/>
                <w:lang w:bidi="he-IL"/>
              </w:rPr>
            </w:r>
          </w:p>
          <w:p>
            <w:pPr>
              <w:pStyle w:val="Normal"/>
              <w:widowControl w:val="false"/>
              <w:suppressAutoHyphens w:val="true"/>
              <w:jc w:val="center"/>
              <w:rPr>
                <w:rFonts w:ascii="Arial" w:hAnsi="Arial" w:cs="Arial"/>
                <w:sz w:val="16"/>
                <w:szCs w:val="16"/>
                <w:lang w:val="en-GB"/>
              </w:rPr>
            </w:pPr>
            <w:r>
              <w:rPr>
                <w:rFonts w:cs="Arial" w:ascii="Arial" w:hAnsi="Arial"/>
                <w:sz w:val="22"/>
                <w:szCs w:val="22"/>
                <w:lang w:val="en-GB"/>
              </w:rPr>
              <w:t>2 pcs</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2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t>(Note1)</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jc w:val="center"/>
              <w:rPr>
                <w:rFonts w:ascii="Arial" w:hAnsi="Arial" w:cs="Arial"/>
                <w:sz w:val="16"/>
                <w:szCs w:val="16"/>
                <w:lang w:val="en-GB"/>
              </w:rPr>
            </w:pPr>
            <w:r>
              <w:rPr>
                <w:rFonts w:cs="Arial" w:ascii="Arial" w:hAnsi="Arial"/>
                <w:sz w:val="16"/>
                <w:szCs w:val="16"/>
                <w:lang w:val="en-GB"/>
              </w:rPr>
            </w:r>
          </w:p>
        </w:tc>
        <w:tc>
          <w:tcPr>
            <w:tcW w:w="170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r>
          </w:p>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t>Convener, Online Admission Committee, Central Admission Office, Room-214, Administrative Building, University of Dhaka</w:t>
            </w:r>
          </w:p>
        </w:tc>
        <w:tc>
          <w:tcPr>
            <w:tcW w:w="17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r>
          </w:p>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t>4</w:t>
            </w:r>
            <w:r>
              <w:rPr>
                <w:rFonts w:cs="Arial" w:ascii="Arial" w:hAnsi="Arial"/>
                <w:b/>
                <w:sz w:val="16"/>
                <w:szCs w:val="16"/>
                <w:lang w:val="en-GB"/>
              </w:rPr>
              <w:t>5 Days from the date of NOA</w:t>
            </w:r>
          </w:p>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r>
          </w:p>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r>
          </w:p>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r>
          </w:p>
        </w:tc>
      </w:tr>
      <w:tr>
        <w:trPr>
          <w:trHeight w:val="806" w:hRule="exact"/>
          <w:cantSplit w:val="true"/>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rPr>
                <w:rFonts w:ascii="Arial" w:hAnsi="Arial" w:cs="Arial"/>
                <w:sz w:val="12"/>
                <w:szCs w:val="22"/>
                <w:lang w:val="en-GB"/>
              </w:rPr>
            </w:pPr>
            <w:r>
              <w:rPr>
                <w:rFonts w:cs="Arial" w:ascii="Arial" w:hAnsi="Arial"/>
                <w:sz w:val="12"/>
                <w:szCs w:val="22"/>
                <w:lang w:val="en-GB"/>
              </w:rPr>
            </w:r>
          </w:p>
          <w:p>
            <w:pPr>
              <w:pStyle w:val="Normal"/>
              <w:widowControl w:val="false"/>
              <w:suppressAutoHyphens w:val="true"/>
              <w:snapToGrid w:val="false"/>
              <w:jc w:val="center"/>
              <w:rPr>
                <w:rFonts w:ascii="Arial" w:hAnsi="Arial" w:cs="Arial"/>
                <w:sz w:val="22"/>
                <w:szCs w:val="22"/>
                <w:lang w:val="en-GB"/>
              </w:rPr>
            </w:pPr>
            <w:r>
              <w:rPr>
                <w:rFonts w:cs="Arial" w:ascii="Arial" w:hAnsi="Arial"/>
                <w:sz w:val="22"/>
                <w:szCs w:val="22"/>
                <w:lang w:val="en-GB"/>
              </w:rPr>
              <w:t>02</w:t>
            </w:r>
          </w:p>
        </w:tc>
        <w:tc>
          <w:tcPr>
            <w:tcW w:w="3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spacing w:before="120" w:after="120"/>
              <w:rPr>
                <w:sz w:val="22"/>
                <w:szCs w:val="20"/>
                <w:lang w:bidi="he-IL"/>
              </w:rPr>
            </w:pPr>
            <w:r>
              <w:rPr>
                <w:sz w:val="22"/>
                <w:szCs w:val="20"/>
                <w:lang w:bidi="he-IL"/>
              </w:rPr>
              <w:t>Registered Lamination Film of DU</w:t>
            </w:r>
          </w:p>
        </w:tc>
        <w:tc>
          <w:tcPr>
            <w:tcW w:w="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rPr>
                <w:rFonts w:ascii="Arial" w:hAnsi="Arial" w:cs="Arial"/>
                <w:i/>
                <w:i/>
                <w:iCs/>
                <w:sz w:val="16"/>
                <w:szCs w:val="16"/>
                <w:lang w:val="en-GB"/>
              </w:rPr>
            </w:pPr>
            <w:r>
              <w:rPr>
                <w:rFonts w:cs="Arial" w:ascii="Arial" w:hAnsi="Arial"/>
                <w:i/>
                <w:iCs/>
                <w:sz w:val="16"/>
                <w:szCs w:val="16"/>
                <w:lang w:val="en-GB"/>
              </w:rPr>
            </w:r>
          </w:p>
        </w:tc>
        <w:tc>
          <w:tcPr>
            <w:tcW w:w="1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jc w:val="center"/>
              <w:rPr>
                <w:rFonts w:ascii="Arial" w:hAnsi="Arial" w:cs="Arial"/>
                <w:sz w:val="16"/>
                <w:szCs w:val="16"/>
                <w:lang w:val="en-GB"/>
              </w:rPr>
            </w:pPr>
            <w:r>
              <w:rPr>
                <w:rFonts w:cs="Arial" w:ascii="Arial" w:hAnsi="Arial"/>
                <w:sz w:val="22"/>
                <w:szCs w:val="22"/>
                <w:lang w:val="en-GB"/>
              </w:rPr>
              <w:t>35 pcs</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rPr>
                <w:rFonts w:ascii="Arial" w:hAnsi="Arial" w:cs="Arial"/>
                <w:i/>
                <w:i/>
                <w:iCs/>
                <w:sz w:val="16"/>
                <w:szCs w:val="16"/>
                <w:lang w:val="en-GB"/>
              </w:rPr>
            </w:pPr>
            <w:r>
              <w:rPr>
                <w:rFonts w:cs="Arial" w:ascii="Arial" w:hAnsi="Arial"/>
                <w:i/>
                <w:iCs/>
                <w:sz w:val="16"/>
                <w:szCs w:val="16"/>
                <w:lang w:val="en-GB"/>
              </w:rPr>
            </w:r>
          </w:p>
        </w:tc>
        <w:tc>
          <w:tcPr>
            <w:tcW w:w="12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jc w:val="center"/>
              <w:rPr>
                <w:rFonts w:ascii="Arial" w:hAnsi="Arial" w:cs="Arial"/>
                <w:sz w:val="16"/>
                <w:szCs w:val="16"/>
                <w:lang w:val="en-GB"/>
              </w:rPr>
            </w:pPr>
            <w:r>
              <w:rPr>
                <w:rFonts w:cs="Arial" w:ascii="Arial" w:hAnsi="Arial"/>
                <w:sz w:val="16"/>
                <w:szCs w:val="16"/>
                <w:lang w:val="en-GB"/>
              </w:rPr>
            </w:r>
          </w:p>
        </w:tc>
        <w:tc>
          <w:tcPr>
            <w:tcW w:w="1709"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708"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r>
      <w:tr>
        <w:trPr>
          <w:trHeight w:val="798" w:hRule="exact"/>
          <w:cantSplit w:val="true"/>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rPr>
                <w:rFonts w:ascii="Arial" w:hAnsi="Arial" w:cs="Arial"/>
                <w:sz w:val="12"/>
                <w:szCs w:val="22"/>
                <w:lang w:val="en-GB"/>
              </w:rPr>
            </w:pPr>
            <w:r>
              <w:rPr>
                <w:rFonts w:cs="Arial" w:ascii="Arial" w:hAnsi="Arial"/>
                <w:sz w:val="12"/>
                <w:szCs w:val="22"/>
                <w:lang w:val="en-GB"/>
              </w:rPr>
            </w:r>
          </w:p>
          <w:p>
            <w:pPr>
              <w:pStyle w:val="Normal"/>
              <w:widowControl w:val="false"/>
              <w:suppressAutoHyphens w:val="true"/>
              <w:snapToGrid w:val="false"/>
              <w:jc w:val="center"/>
              <w:rPr>
                <w:rFonts w:ascii="Arial" w:hAnsi="Arial" w:cs="Arial"/>
                <w:sz w:val="22"/>
                <w:szCs w:val="22"/>
                <w:lang w:val="en-GB"/>
              </w:rPr>
            </w:pPr>
            <w:r>
              <w:rPr>
                <w:rFonts w:cs="Arial" w:ascii="Arial" w:hAnsi="Arial"/>
                <w:sz w:val="22"/>
                <w:szCs w:val="22"/>
                <w:lang w:val="en-GB"/>
              </w:rPr>
              <w:t>03</w:t>
            </w:r>
          </w:p>
        </w:tc>
        <w:tc>
          <w:tcPr>
            <w:tcW w:w="3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rPr>
                <w:rFonts w:ascii="Times New Roman" w:hAnsi="Times New Roman" w:eastAsia="SimSun" w:cs="Times New Roman"/>
                <w:b w:val="false"/>
                <w:b w:val="false"/>
                <w:bCs w:val="false"/>
                <w:color w:val="auto"/>
                <w:kern w:val="0"/>
                <w:sz w:val="22"/>
                <w:szCs w:val="20"/>
                <w:lang w:val="en-US" w:eastAsia="zh-CN" w:bidi="he-IL"/>
              </w:rPr>
            </w:pPr>
            <w:r>
              <w:rPr>
                <w:rFonts w:eastAsia="SimSun" w:cs="Times New Roman"/>
                <w:b w:val="false"/>
                <w:bCs w:val="false"/>
                <w:color w:val="auto"/>
                <w:kern w:val="0"/>
                <w:sz w:val="22"/>
                <w:szCs w:val="20"/>
                <w:lang w:val="en-US" w:eastAsia="zh-CN" w:bidi="he-IL"/>
              </w:rPr>
              <w:t>Color Ribbon</w:t>
            </w:r>
          </w:p>
        </w:tc>
        <w:tc>
          <w:tcPr>
            <w:tcW w:w="9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jc w:val="center"/>
              <w:rPr>
                <w:rFonts w:ascii="Arial" w:hAnsi="Arial" w:cs="Arial"/>
                <w:sz w:val="16"/>
                <w:szCs w:val="16"/>
                <w:lang w:val="en-GB"/>
              </w:rPr>
            </w:pPr>
            <w:r>
              <w:rPr>
                <w:rFonts w:cs="Arial" w:ascii="Arial" w:hAnsi="Arial"/>
                <w:sz w:val="22"/>
                <w:szCs w:val="22"/>
                <w:lang w:val="en-GB"/>
              </w:rPr>
              <w:t>140 pcs</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2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t>(Note1)</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jc w:val="center"/>
              <w:rPr>
                <w:rFonts w:ascii="Arial" w:hAnsi="Arial" w:cs="Arial"/>
                <w:sz w:val="16"/>
                <w:szCs w:val="16"/>
                <w:lang w:val="en-GB"/>
              </w:rPr>
            </w:pPr>
            <w:r>
              <w:rPr>
                <w:rFonts w:cs="Arial" w:ascii="Arial" w:hAnsi="Arial"/>
                <w:sz w:val="16"/>
                <w:szCs w:val="16"/>
                <w:lang w:val="en-GB"/>
              </w:rPr>
            </w:r>
          </w:p>
        </w:tc>
        <w:tc>
          <w:tcPr>
            <w:tcW w:w="1709"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r>
          </w:p>
        </w:tc>
        <w:tc>
          <w:tcPr>
            <w:tcW w:w="1708"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r>
          </w:p>
        </w:tc>
      </w:tr>
      <w:tr>
        <w:trPr>
          <w:trHeight w:val="628" w:hRule="exact"/>
          <w:cantSplit w:val="true"/>
        </w:trPr>
        <w:tc>
          <w:tcPr>
            <w:tcW w:w="70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2"/>
                <w:szCs w:val="22"/>
                <w:lang w:val="en-GB"/>
              </w:rPr>
            </w:pPr>
            <w:r>
              <w:rPr>
                <w:rFonts w:cs="Arial" w:ascii="Arial" w:hAnsi="Arial"/>
                <w:sz w:val="12"/>
                <w:szCs w:val="22"/>
                <w:lang w:val="en-GB"/>
              </w:rPr>
            </w:r>
          </w:p>
          <w:p>
            <w:pPr>
              <w:pStyle w:val="Normal"/>
              <w:widowControl w:val="false"/>
              <w:suppressAutoHyphens w:val="true"/>
              <w:snapToGrid w:val="false"/>
              <w:jc w:val="center"/>
              <w:rPr>
                <w:rFonts w:ascii="Arial" w:hAnsi="Arial" w:cs="Arial"/>
                <w:sz w:val="22"/>
                <w:szCs w:val="22"/>
                <w:lang w:val="en-GB"/>
              </w:rPr>
            </w:pPr>
            <w:r>
              <w:rPr>
                <w:rFonts w:cs="Arial" w:ascii="Arial" w:hAnsi="Arial"/>
                <w:sz w:val="22"/>
                <w:szCs w:val="22"/>
                <w:lang w:val="en-GB"/>
              </w:rPr>
              <w:t>04</w:t>
            </w:r>
          </w:p>
        </w:tc>
        <w:tc>
          <w:tcPr>
            <w:tcW w:w="3689" w:type="dxa"/>
            <w:tcBorders>
              <w:top w:val="single" w:sz="6" w:space="0" w:color="000000"/>
              <w:left w:val="single" w:sz="6" w:space="0" w:color="000000"/>
              <w:bottom w:val="single" w:sz="6" w:space="0" w:color="000000"/>
              <w:right w:val="single" w:sz="6" w:space="0" w:color="000000"/>
            </w:tcBorders>
            <w:vAlign w:val="bottom"/>
          </w:tcPr>
          <w:p>
            <w:pPr>
              <w:pStyle w:val="Normal"/>
              <w:widowControl w:val="false"/>
              <w:suppressAutoHyphens w:val="true"/>
              <w:snapToGrid w:val="false"/>
              <w:spacing w:before="0" w:after="120"/>
              <w:rPr>
                <w:rFonts w:ascii="Times New Roman" w:hAnsi="Times New Roman" w:eastAsia="SimSun" w:cs="Times New Roman"/>
                <w:b w:val="false"/>
                <w:b w:val="false"/>
                <w:bCs w:val="false"/>
                <w:color w:val="auto"/>
                <w:kern w:val="0"/>
                <w:sz w:val="22"/>
                <w:szCs w:val="20"/>
                <w:lang w:val="en-US" w:eastAsia="zh-CN" w:bidi="he-IL"/>
              </w:rPr>
            </w:pPr>
            <w:r>
              <w:rPr>
                <w:rFonts w:eastAsia="SimSun" w:cs="Times New Roman"/>
                <w:b w:val="false"/>
                <w:bCs w:val="false"/>
                <w:color w:val="auto"/>
                <w:kern w:val="0"/>
                <w:sz w:val="22"/>
                <w:szCs w:val="20"/>
                <w:lang w:val="en-US" w:eastAsia="zh-CN" w:bidi="he-IL"/>
              </w:rPr>
              <w:t>Cleaning Kit</w:t>
            </w:r>
            <w:r>
              <w:rPr>
                <w:rFonts w:eastAsia="SimSun" w:cs="Times New Roman"/>
                <w:b w:val="false"/>
                <w:bCs w:val="false"/>
                <w:i/>
                <w:iCs/>
                <w:color w:val="auto"/>
                <w:kern w:val="0"/>
                <w:sz w:val="22"/>
                <w:szCs w:val="20"/>
                <w:lang w:val="en-US" w:eastAsia="zh-CN" w:bidi="he-IL"/>
              </w:rPr>
              <w:t>.</w:t>
            </w:r>
          </w:p>
        </w:tc>
        <w:tc>
          <w:tcPr>
            <w:tcW w:w="99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i/>
                <w:i/>
                <w:iCs/>
                <w:sz w:val="16"/>
                <w:szCs w:val="16"/>
                <w:lang w:val="en-GB"/>
              </w:rPr>
            </w:pPr>
            <w:r>
              <w:rPr>
                <w:rFonts w:cs="Arial" w:ascii="Arial" w:hAnsi="Arial"/>
                <w:i/>
                <w:iCs/>
                <w:sz w:val="16"/>
                <w:szCs w:val="16"/>
                <w:lang w:val="en-GB"/>
              </w:rPr>
            </w:r>
          </w:p>
        </w:tc>
        <w:tc>
          <w:tcPr>
            <w:tcW w:w="144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r>
          </w:p>
          <w:p>
            <w:pPr>
              <w:pStyle w:val="Normal"/>
              <w:widowControl w:val="false"/>
              <w:suppressAutoHyphens w:val="true"/>
              <w:jc w:val="center"/>
              <w:rPr>
                <w:rFonts w:ascii="Arial" w:hAnsi="Arial" w:cs="Arial"/>
                <w:sz w:val="16"/>
                <w:szCs w:val="16"/>
                <w:lang w:val="en-GB"/>
              </w:rPr>
            </w:pPr>
            <w:r>
              <w:rPr>
                <w:rFonts w:cs="Arial" w:ascii="Arial" w:hAnsi="Arial"/>
                <w:sz w:val="22"/>
                <w:szCs w:val="22"/>
                <w:lang w:val="en-GB"/>
              </w:rPr>
              <w:t>1 pcs</w:t>
            </w:r>
            <w:r>
              <w:rPr>
                <w:rFonts w:cs="Arial" w:ascii="Arial" w:hAnsi="Arial"/>
                <w:sz w:val="16"/>
                <w:szCs w:val="16"/>
                <w:lang w:val="en-GB"/>
              </w:rPr>
              <w:t xml:space="preserve"> </w:t>
            </w:r>
            <w:r>
              <w:rPr>
                <w:rFonts w:cs="Arial" w:ascii="Arial" w:hAnsi="Arial"/>
                <w:sz w:val="22"/>
                <w:szCs w:val="22"/>
                <w:lang w:val="en-GB"/>
              </w:rPr>
              <w:t>each</w:t>
            </w:r>
          </w:p>
        </w:tc>
        <w:tc>
          <w:tcPr>
            <w:tcW w:w="117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i/>
                <w:i/>
                <w:iCs/>
                <w:sz w:val="16"/>
                <w:szCs w:val="16"/>
                <w:lang w:val="en-GB"/>
              </w:rPr>
            </w:pPr>
            <w:r>
              <w:rPr>
                <w:rFonts w:cs="Arial" w:ascii="Arial" w:hAnsi="Arial"/>
                <w:i/>
                <w:iCs/>
                <w:sz w:val="16"/>
                <w:szCs w:val="16"/>
                <w:lang w:val="en-GB"/>
              </w:rPr>
            </w:r>
          </w:p>
        </w:tc>
        <w:tc>
          <w:tcPr>
            <w:tcW w:w="125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35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rFonts w:ascii="Arial" w:hAnsi="Arial" w:cs="Arial"/>
                <w:sz w:val="16"/>
                <w:szCs w:val="16"/>
                <w:lang w:val="en-GB"/>
              </w:rPr>
            </w:pPr>
            <w:r>
              <w:rPr>
                <w:rFonts w:cs="Arial" w:ascii="Arial" w:hAnsi="Arial"/>
                <w:sz w:val="16"/>
                <w:szCs w:val="16"/>
                <w:lang w:val="en-GB"/>
              </w:rPr>
            </w:r>
          </w:p>
        </w:tc>
        <w:tc>
          <w:tcPr>
            <w:tcW w:w="1709"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708"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r>
    </w:tbl>
    <w:p>
      <w:pPr>
        <w:pStyle w:val="TextBody"/>
        <w:rPr/>
      </w:pPr>
      <w:r>
        <w:rPr/>
      </w:r>
    </w:p>
    <w:tbl>
      <w:tblPr>
        <w:tblW w:w="14020" w:type="dxa"/>
        <w:jc w:val="left"/>
        <w:tblInd w:w="0" w:type="dxa"/>
        <w:tblLayout w:type="fixed"/>
        <w:tblCellMar>
          <w:top w:w="0" w:type="dxa"/>
          <w:left w:w="72" w:type="dxa"/>
          <w:bottom w:w="0" w:type="dxa"/>
          <w:right w:w="72" w:type="dxa"/>
        </w:tblCellMar>
        <w:tblLook w:val="0000" w:noHBand="0" w:noVBand="0" w:firstColumn="0" w:lastRow="0" w:lastColumn="0" w:firstRow="0"/>
      </w:tblPr>
      <w:tblGrid>
        <w:gridCol w:w="702"/>
        <w:gridCol w:w="3689"/>
        <w:gridCol w:w="990"/>
        <w:gridCol w:w="1440"/>
        <w:gridCol w:w="1171"/>
        <w:gridCol w:w="1259"/>
        <w:gridCol w:w="1352"/>
        <w:gridCol w:w="1709"/>
        <w:gridCol w:w="1708"/>
      </w:tblGrid>
      <w:tr>
        <w:trPr>
          <w:tblHeader w:val="true"/>
          <w:cantSplit w:val="true"/>
        </w:trPr>
        <w:tc>
          <w:tcPr>
            <w:tcW w:w="70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1</w:t>
            </w:r>
          </w:p>
        </w:tc>
        <w:tc>
          <w:tcPr>
            <w:tcW w:w="368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2</w:t>
            </w:r>
          </w:p>
        </w:tc>
        <w:tc>
          <w:tcPr>
            <w:tcW w:w="99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3</w:t>
            </w:r>
          </w:p>
        </w:tc>
        <w:tc>
          <w:tcPr>
            <w:tcW w:w="144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3</w:t>
            </w:r>
          </w:p>
        </w:tc>
        <w:tc>
          <w:tcPr>
            <w:tcW w:w="117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4</w:t>
            </w:r>
          </w:p>
        </w:tc>
        <w:tc>
          <w:tcPr>
            <w:tcW w:w="125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5</w:t>
            </w:r>
          </w:p>
        </w:tc>
        <w:tc>
          <w:tcPr>
            <w:tcW w:w="135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6</w:t>
            </w:r>
          </w:p>
        </w:tc>
        <w:tc>
          <w:tcPr>
            <w:tcW w:w="170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7</w:t>
            </w:r>
          </w:p>
        </w:tc>
        <w:tc>
          <w:tcPr>
            <w:tcW w:w="1708"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8</w:t>
            </w:r>
          </w:p>
        </w:tc>
      </w:tr>
      <w:tr>
        <w:trPr>
          <w:cantSplit w:val="true"/>
        </w:trPr>
        <w:tc>
          <w:tcPr>
            <w:tcW w:w="702" w:type="dxa"/>
            <w:tcBorders>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Item</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No.</w:t>
            </w:r>
          </w:p>
        </w:tc>
        <w:tc>
          <w:tcPr>
            <w:tcW w:w="3689" w:type="dxa"/>
            <w:tcBorders>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Description</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Of Item</w:t>
            </w:r>
          </w:p>
        </w:tc>
        <w:tc>
          <w:tcPr>
            <w:tcW w:w="990" w:type="dxa"/>
            <w:tcBorders>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Country of</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Origin</w:t>
            </w:r>
          </w:p>
        </w:tc>
        <w:tc>
          <w:tcPr>
            <w:tcW w:w="1440" w:type="dxa"/>
            <w:tcBorders>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 xml:space="preserve">Unit of </w:t>
            </w:r>
            <w:r>
              <w:rPr>
                <w:rFonts w:cs="Arial" w:ascii="Arial" w:hAnsi="Arial"/>
                <w:sz w:val="20"/>
                <w:szCs w:val="22"/>
                <w:lang w:val="en-GB"/>
              </w:rPr>
              <w:t>Measurement</w:t>
            </w:r>
          </w:p>
        </w:tc>
        <w:tc>
          <w:tcPr>
            <w:tcW w:w="1171" w:type="dxa"/>
            <w:tcBorders>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Qty</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Of units</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Required</w:t>
            </w:r>
          </w:p>
        </w:tc>
        <w:tc>
          <w:tcPr>
            <w:tcW w:w="1259" w:type="dxa"/>
            <w:tcBorders>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Unit price</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r>
          </w:p>
        </w:tc>
        <w:tc>
          <w:tcPr>
            <w:tcW w:w="1352" w:type="dxa"/>
            <w:tcBorders>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Total price</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 xml:space="preserve">(col. 4 </w:t>
            </w:r>
            <w:r>
              <w:rPr>
                <w:rFonts w:eastAsia="Symbol" w:cs="Symbol" w:ascii="Symbol" w:hAnsi="Symbol"/>
                <w:sz w:val="22"/>
                <w:szCs w:val="22"/>
                <w:lang w:val="en-GB"/>
              </w:rPr>
              <w:t></w:t>
            </w:r>
            <w:r>
              <w:rPr>
                <w:rFonts w:cs="Arial" w:ascii="Arial" w:hAnsi="Arial"/>
                <w:sz w:val="22"/>
                <w:szCs w:val="22"/>
                <w:lang w:val="en-GB"/>
              </w:rPr>
              <w:t xml:space="preserve"> 5)</w:t>
            </w:r>
          </w:p>
        </w:tc>
        <w:tc>
          <w:tcPr>
            <w:tcW w:w="1709" w:type="dxa"/>
            <w:tcBorders>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Point of Delivery as per Schedule of Requirement</w:t>
            </w:r>
          </w:p>
        </w:tc>
        <w:tc>
          <w:tcPr>
            <w:tcW w:w="1708" w:type="dxa"/>
            <w:tcBorders>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Delivery Period</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Offered as per Schedule of Requirement</w:t>
            </w:r>
          </w:p>
        </w:tc>
      </w:tr>
      <w:tr>
        <w:trPr>
          <w:trHeight w:val="345" w:hRule="atLeast"/>
          <w:cantSplit w:val="true"/>
        </w:trPr>
        <w:tc>
          <w:tcPr>
            <w:tcW w:w="14020" w:type="dxa"/>
            <w:gridSpan w:val="9"/>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before="60" w:after="60"/>
              <w:rPr>
                <w:rFonts w:ascii="Arial" w:hAnsi="Arial" w:cs="Arial"/>
                <w:b/>
                <w:b/>
                <w:sz w:val="22"/>
                <w:szCs w:val="22"/>
                <w:lang w:val="en-GB"/>
              </w:rPr>
            </w:pPr>
            <w:r>
              <w:rPr>
                <w:rFonts w:cs="Arial" w:ascii="Arial" w:hAnsi="Arial"/>
                <w:b/>
                <w:sz w:val="22"/>
                <w:szCs w:val="22"/>
                <w:lang w:val="en-GB"/>
              </w:rPr>
              <w:t xml:space="preserve">Lot-2: </w:t>
            </w:r>
            <w:r>
              <w:rPr>
                <w:rFonts w:cs="Arial" w:ascii="Arial" w:hAnsi="Arial"/>
                <w:b/>
                <w:sz w:val="22"/>
                <w:szCs w:val="32"/>
                <w:lang w:val="en-GB"/>
              </w:rPr>
              <w:t>Contactless NFC PVC Card (8K)</w:t>
            </w:r>
          </w:p>
        </w:tc>
      </w:tr>
      <w:tr>
        <w:trPr>
          <w:trHeight w:val="1590" w:hRule="exact"/>
          <w:cantSplit w:val="true"/>
        </w:trPr>
        <w:tc>
          <w:tcPr>
            <w:tcW w:w="70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2"/>
                <w:szCs w:val="22"/>
                <w:lang w:val="en-GB"/>
              </w:rPr>
            </w:pPr>
            <w:r>
              <w:rPr>
                <w:rFonts w:cs="Arial" w:ascii="Arial" w:hAnsi="Arial"/>
                <w:sz w:val="12"/>
                <w:szCs w:val="22"/>
                <w:lang w:val="en-GB"/>
              </w:rPr>
            </w:r>
          </w:p>
          <w:p>
            <w:pPr>
              <w:pStyle w:val="Normal"/>
              <w:widowControl w:val="false"/>
              <w:suppressAutoHyphens w:val="true"/>
              <w:snapToGrid w:val="false"/>
              <w:jc w:val="center"/>
              <w:rPr>
                <w:rFonts w:ascii="Arial" w:hAnsi="Arial" w:cs="Arial"/>
                <w:sz w:val="22"/>
                <w:szCs w:val="22"/>
                <w:lang w:val="en-GB"/>
              </w:rPr>
            </w:pPr>
            <w:r>
              <w:rPr>
                <w:rFonts w:cs="Arial" w:ascii="Arial" w:hAnsi="Arial"/>
                <w:sz w:val="22"/>
                <w:szCs w:val="22"/>
                <w:lang w:val="en-GB"/>
              </w:rPr>
              <w:t>01</w:t>
            </w:r>
          </w:p>
        </w:tc>
        <w:tc>
          <w:tcPr>
            <w:tcW w:w="3689" w:type="dxa"/>
            <w:tcBorders>
              <w:top w:val="single" w:sz="6" w:space="0" w:color="000000"/>
              <w:left w:val="single" w:sz="6" w:space="0" w:color="000000"/>
              <w:bottom w:val="single" w:sz="6" w:space="0" w:color="000000"/>
              <w:right w:val="single" w:sz="6" w:space="0" w:color="000000"/>
            </w:tcBorders>
            <w:vAlign w:val="bottom"/>
          </w:tcPr>
          <w:p>
            <w:pPr>
              <w:pStyle w:val="Normal"/>
              <w:widowControl w:val="false"/>
              <w:suppressAutoHyphens w:val="true"/>
              <w:snapToGrid w:val="false"/>
              <w:rPr>
                <w:b/>
                <w:b/>
                <w:sz w:val="22"/>
                <w:szCs w:val="32"/>
                <w:lang w:val="en-GB"/>
              </w:rPr>
            </w:pPr>
            <w:r>
              <w:rPr>
                <w:b/>
                <w:sz w:val="22"/>
                <w:szCs w:val="32"/>
                <w:lang w:val="en-GB"/>
              </w:rPr>
              <w:t>Contactless NFC PVC Card (8K):</w:t>
            </w:r>
          </w:p>
          <w:p>
            <w:pPr>
              <w:pStyle w:val="Normal"/>
              <w:widowControl w:val="false"/>
              <w:suppressAutoHyphens w:val="true"/>
              <w:snapToGrid w:val="false"/>
              <w:spacing w:before="0" w:after="120"/>
              <w:rPr>
                <w:sz w:val="20"/>
                <w:szCs w:val="32"/>
                <w:lang w:val="en-GB"/>
              </w:rPr>
            </w:pPr>
            <w:r>
              <w:rPr>
                <w:sz w:val="20"/>
                <w:szCs w:val="32"/>
                <w:lang w:val="en-GB"/>
              </w:rPr>
              <w:t>Contactless NFC PVC Mifare Desfire EVC, 8KB Memory 13.56  MHz Sensor (CR-80 Standard PVC)</w:t>
            </w:r>
          </w:p>
          <w:p>
            <w:pPr>
              <w:pStyle w:val="Normal"/>
              <w:widowControl w:val="false"/>
              <w:suppressAutoHyphens w:val="true"/>
              <w:snapToGrid w:val="false"/>
              <w:spacing w:before="0" w:after="120"/>
              <w:rPr>
                <w:sz w:val="22"/>
                <w:szCs w:val="22"/>
                <w:lang w:val="en-GB"/>
              </w:rPr>
            </w:pPr>
            <w:r>
              <w:rPr>
                <w:sz w:val="22"/>
                <w:szCs w:val="22"/>
                <w:lang w:val="en-GB"/>
              </w:rPr>
            </w:r>
          </w:p>
        </w:tc>
        <w:tc>
          <w:tcPr>
            <w:tcW w:w="99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44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sz w:val="14"/>
                <w:szCs w:val="20"/>
                <w:lang w:bidi="he-IL"/>
              </w:rPr>
            </w:pPr>
            <w:r>
              <w:rPr>
                <w:sz w:val="14"/>
                <w:szCs w:val="20"/>
                <w:lang w:bidi="he-IL"/>
              </w:rPr>
            </w:r>
          </w:p>
          <w:p>
            <w:pPr>
              <w:pStyle w:val="Normal"/>
              <w:widowControl w:val="false"/>
              <w:suppressAutoHyphens w:val="true"/>
              <w:jc w:val="center"/>
              <w:rPr>
                <w:rFonts w:ascii="Arial" w:hAnsi="Arial" w:cs="Arial"/>
                <w:sz w:val="16"/>
                <w:szCs w:val="16"/>
                <w:lang w:val="en-GB"/>
              </w:rPr>
            </w:pPr>
            <w:r>
              <w:rPr>
                <w:rFonts w:cs="Arial" w:ascii="Arial" w:hAnsi="Arial"/>
                <w:sz w:val="22"/>
                <w:szCs w:val="22"/>
                <w:lang w:val="en-GB"/>
              </w:rPr>
              <w:t>20000 pcs</w:t>
            </w:r>
          </w:p>
        </w:tc>
        <w:tc>
          <w:tcPr>
            <w:tcW w:w="117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25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t>(Note1)</w:t>
            </w:r>
          </w:p>
        </w:tc>
        <w:tc>
          <w:tcPr>
            <w:tcW w:w="135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rFonts w:ascii="Arial" w:hAnsi="Arial" w:cs="Arial"/>
                <w:sz w:val="16"/>
                <w:szCs w:val="16"/>
                <w:lang w:val="en-GB"/>
              </w:rPr>
            </w:pPr>
            <w:r>
              <w:rPr>
                <w:rFonts w:cs="Arial" w:ascii="Arial" w:hAnsi="Arial"/>
                <w:sz w:val="16"/>
                <w:szCs w:val="16"/>
                <w:lang w:val="en-GB"/>
              </w:rPr>
            </w:r>
          </w:p>
        </w:tc>
        <w:tc>
          <w:tcPr>
            <w:tcW w:w="170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t>Convener, Online Admission Committee, Central Admission Office, Room-214, Administrative Building, University of Dhaka</w:t>
            </w:r>
          </w:p>
        </w:tc>
        <w:tc>
          <w:tcPr>
            <w:tcW w:w="1708"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r>
          </w:p>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r>
          </w:p>
        </w:tc>
      </w:tr>
    </w:tbl>
    <w:p>
      <w:pPr>
        <w:pStyle w:val="Normal"/>
        <w:ind w:right="-1530" w:hanging="0"/>
        <w:rPr>
          <w:rFonts w:ascii="Arial" w:hAnsi="Arial" w:cs="Arial"/>
          <w:sz w:val="2"/>
          <w:szCs w:val="16"/>
          <w:lang w:val="en-GB"/>
        </w:rPr>
      </w:pPr>
      <w:r>
        <w:rPr>
          <w:rFonts w:cs="Arial" w:ascii="Arial" w:hAnsi="Arial"/>
          <w:sz w:val="2"/>
          <w:szCs w:val="16"/>
          <w:lang w:val="en-GB"/>
        </w:rPr>
      </w:r>
    </w:p>
    <w:p>
      <w:pPr>
        <w:pStyle w:val="Normal"/>
        <w:spacing w:before="100" w:after="100"/>
        <w:jc w:val="both"/>
        <w:rPr>
          <w:rFonts w:ascii="Arial" w:hAnsi="Arial" w:cs="Arial"/>
          <w:sz w:val="18"/>
          <w:szCs w:val="18"/>
          <w:lang w:val="en-GB"/>
        </w:rPr>
      </w:pPr>
      <w:r>
        <w:rPr>
          <w:rFonts w:cs="Arial" w:ascii="Arial" w:hAnsi="Arial"/>
          <w:b/>
          <w:i/>
          <w:sz w:val="18"/>
          <w:szCs w:val="18"/>
          <w:lang w:val="en-GB"/>
        </w:rPr>
        <w:t>Note 1:</w:t>
      </w:r>
      <w:r>
        <w:rPr>
          <w:rFonts w:cs="Arial" w:ascii="Arial" w:hAnsi="Arial"/>
          <w:sz w:val="18"/>
          <w:szCs w:val="18"/>
          <w:lang w:val="en-GB"/>
        </w:rPr>
        <w:t xml:space="preserve">All unit rates and prices quoted by the Tenderers against each basic item or activity shall include the Tenderer’s profit, overheads, VAT and all other charges including corresponding incidental service charges and premiums for banking and insurances, as applicable </w:t>
      </w:r>
      <w:r>
        <w:rPr>
          <w:rFonts w:cs="Arial" w:ascii="Arial" w:hAnsi="Arial"/>
          <w:i/>
          <w:sz w:val="18"/>
          <w:szCs w:val="18"/>
          <w:lang w:val="en-GB"/>
        </w:rPr>
        <w:t>and,shall be the delivered price in final destination or at point of delivery</w:t>
      </w:r>
      <w:r>
        <w:rPr>
          <w:rFonts w:cs="Arial" w:ascii="Arial" w:hAnsi="Arial"/>
          <w:sz w:val="18"/>
          <w:szCs w:val="18"/>
          <w:lang w:val="en-GB"/>
        </w:rPr>
        <w:t xml:space="preserve"> and,  thus forth the total Tender Price quoted by the Tenderers </w:t>
      </w:r>
    </w:p>
    <w:p>
      <w:pPr>
        <w:pStyle w:val="Normal"/>
        <w:tabs>
          <w:tab w:val="clear" w:pos="720"/>
          <w:tab w:val="left" w:pos="11610" w:leader="none"/>
        </w:tabs>
        <w:ind w:right="-1530" w:hanging="0"/>
        <w:rPr>
          <w:rFonts w:ascii="Arial" w:hAnsi="Arial" w:cs="Arial"/>
          <w:i/>
          <w:i/>
          <w:sz w:val="18"/>
          <w:szCs w:val="18"/>
          <w:lang w:val="en-GB"/>
        </w:rPr>
      </w:pPr>
      <w:r>
        <w:rPr>
          <w:rFonts w:cs="Arial" w:ascii="Arial" w:hAnsi="Arial"/>
          <w:b/>
          <w:i/>
          <w:sz w:val="18"/>
          <w:szCs w:val="18"/>
          <w:lang w:val="en-GB"/>
        </w:rPr>
        <w:t>Note 2</w:t>
      </w:r>
      <w:r>
        <w:rPr>
          <w:rFonts w:cs="Arial" w:ascii="Arial" w:hAnsi="Arial"/>
          <w:i/>
          <w:sz w:val="18"/>
          <w:szCs w:val="18"/>
          <w:lang w:val="en-GB"/>
        </w:rPr>
        <w:t>: Tenderer will complete these columns as appropriate following the details specified in Section 6: Schedule of Requirements</w:t>
      </w:r>
    </w:p>
    <w:p>
      <w:pPr>
        <w:pStyle w:val="Normal"/>
        <w:tabs>
          <w:tab w:val="clear" w:pos="720"/>
          <w:tab w:val="left" w:pos="11610" w:leader="none"/>
        </w:tabs>
        <w:ind w:right="-1530" w:hanging="0"/>
        <w:rPr>
          <w:rFonts w:ascii="Arial" w:hAnsi="Arial" w:cs="Arial"/>
          <w:sz w:val="22"/>
          <w:szCs w:val="22"/>
          <w:lang w:val="en-GB"/>
        </w:rPr>
      </w:pPr>
      <w:r>
        <w:rPr>
          <w:rFonts w:cs="Arial" w:ascii="Arial" w:hAnsi="Arial"/>
          <w:sz w:val="22"/>
          <w:szCs w:val="22"/>
          <w:lang w:val="en-GB"/>
        </w:rPr>
      </w:r>
    </w:p>
    <w:p>
      <w:pPr>
        <w:pStyle w:val="Normal"/>
        <w:ind w:right="-1530" w:hanging="0"/>
        <w:rPr>
          <w:rFonts w:ascii="Arial" w:hAnsi="Arial" w:cs="Arial"/>
          <w:sz w:val="22"/>
          <w:szCs w:val="22"/>
          <w:lang w:val="en-GB"/>
        </w:rPr>
      </w:pPr>
      <w:r>
        <w:rPr>
          <w:rFonts w:cs="Arial" w:ascii="Arial" w:hAnsi="Arial"/>
          <w:sz w:val="22"/>
          <w:szCs w:val="22"/>
          <w:lang w:val="en-GB"/>
        </w:rPr>
      </w:r>
    </w:p>
    <w:tbl>
      <w:tblPr>
        <w:tblpPr w:bottomFromText="0" w:horzAnchor="page" w:leftFromText="180" w:rightFromText="180" w:tblpX="0" w:tblpXSpec="center" w:tblpY="35" w:topFromText="0" w:vertAnchor="text"/>
        <w:tblW w:w="8748"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3073"/>
        <w:gridCol w:w="5674"/>
      </w:tblGrid>
      <w:tr>
        <w:trPr>
          <w:trHeight w:val="243" w:hRule="atLeast"/>
        </w:trPr>
        <w:tc>
          <w:tcPr>
            <w:tcW w:w="307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sz w:val="21"/>
                <w:szCs w:val="21"/>
                <w:lang w:eastAsia="en-US"/>
              </w:rPr>
            </w:pPr>
            <w:r>
              <w:rPr>
                <w:rFonts w:cs="Arial" w:ascii="Arial" w:hAnsi="Arial"/>
                <w:sz w:val="21"/>
                <w:szCs w:val="21"/>
                <w:lang w:eastAsia="en-US"/>
              </w:rPr>
              <w:t>Signature:</w:t>
            </w:r>
          </w:p>
        </w:tc>
        <w:tc>
          <w:tcPr>
            <w:tcW w:w="567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i/>
                <w:i/>
                <w:iCs/>
                <w:sz w:val="21"/>
                <w:szCs w:val="21"/>
                <w:lang w:eastAsia="en-US"/>
              </w:rPr>
            </w:pPr>
            <w:r>
              <w:rPr>
                <w:rFonts w:cs="Arial" w:ascii="Arial" w:hAnsi="Arial"/>
                <w:i/>
                <w:iCs/>
                <w:sz w:val="21"/>
                <w:szCs w:val="21"/>
                <w:lang w:eastAsia="en-US"/>
              </w:rPr>
              <w:t>[insert signature of authorised representative of the Tenderer]</w:t>
            </w:r>
          </w:p>
        </w:tc>
      </w:tr>
      <w:tr>
        <w:trPr>
          <w:trHeight w:val="243" w:hRule="atLeast"/>
        </w:trPr>
        <w:tc>
          <w:tcPr>
            <w:tcW w:w="307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sz w:val="21"/>
                <w:szCs w:val="21"/>
                <w:lang w:eastAsia="en-US"/>
              </w:rPr>
            </w:pPr>
            <w:r>
              <w:rPr>
                <w:rFonts w:cs="Arial" w:ascii="Arial" w:hAnsi="Arial"/>
                <w:sz w:val="21"/>
                <w:szCs w:val="21"/>
                <w:lang w:eastAsia="en-US"/>
              </w:rPr>
              <w:t>Name:</w:t>
            </w:r>
          </w:p>
        </w:tc>
        <w:tc>
          <w:tcPr>
            <w:tcW w:w="567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i/>
                <w:i/>
                <w:iCs/>
                <w:sz w:val="21"/>
                <w:szCs w:val="21"/>
                <w:lang w:eastAsia="en-US"/>
              </w:rPr>
            </w:pPr>
            <w:r>
              <w:rPr>
                <w:rFonts w:cs="Arial" w:ascii="Arial" w:hAnsi="Arial"/>
                <w:i/>
                <w:iCs/>
                <w:sz w:val="21"/>
                <w:szCs w:val="21"/>
                <w:lang w:eastAsia="en-US"/>
              </w:rPr>
              <w:t>[insert full name of signatory with National ID]</w:t>
            </w:r>
          </w:p>
        </w:tc>
      </w:tr>
      <w:tr>
        <w:trPr/>
        <w:tc>
          <w:tcPr>
            <w:tcW w:w="307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sz w:val="21"/>
                <w:szCs w:val="21"/>
                <w:lang w:eastAsia="en-US"/>
              </w:rPr>
            </w:pPr>
            <w:r>
              <w:rPr>
                <w:rFonts w:cs="Arial" w:ascii="Arial" w:hAnsi="Arial"/>
                <w:sz w:val="21"/>
                <w:szCs w:val="21"/>
                <w:lang w:eastAsia="en-US"/>
              </w:rPr>
              <w:t>In the capacity of:</w:t>
            </w:r>
          </w:p>
        </w:tc>
        <w:tc>
          <w:tcPr>
            <w:tcW w:w="567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i/>
                <w:i/>
                <w:iCs/>
                <w:sz w:val="21"/>
                <w:szCs w:val="21"/>
                <w:lang w:eastAsia="en-US"/>
              </w:rPr>
            </w:pPr>
            <w:r>
              <w:rPr>
                <w:rFonts w:cs="Arial" w:ascii="Arial" w:hAnsi="Arial"/>
                <w:i/>
                <w:iCs/>
                <w:sz w:val="21"/>
                <w:szCs w:val="21"/>
                <w:lang w:eastAsia="en-US"/>
              </w:rPr>
              <w:t>[insert designation of signatory]</w:t>
            </w:r>
          </w:p>
        </w:tc>
      </w:tr>
      <w:tr>
        <w:trPr/>
        <w:tc>
          <w:tcPr>
            <w:tcW w:w="874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sz w:val="21"/>
                <w:szCs w:val="21"/>
                <w:lang w:eastAsia="en-US"/>
              </w:rPr>
            </w:pPr>
            <w:r>
              <w:rPr>
                <w:rFonts w:cs="Arial" w:ascii="Arial" w:hAnsi="Arial"/>
                <w:sz w:val="21"/>
                <w:szCs w:val="21"/>
                <w:lang w:eastAsia="en-US"/>
              </w:rPr>
              <w:t>Duly authorised to sign the Tender for and on behalf of the Tenderer</w:t>
            </w:r>
          </w:p>
        </w:tc>
      </w:tr>
    </w:tbl>
    <w:p>
      <w:pPr>
        <w:pStyle w:val="Normal"/>
        <w:ind w:right="-1530" w:hanging="0"/>
        <w:rPr>
          <w:rFonts w:ascii="Arial" w:hAnsi="Arial" w:cs="Arial"/>
          <w:sz w:val="22"/>
          <w:szCs w:val="22"/>
          <w:lang w:val="en-GB"/>
        </w:rPr>
      </w:pPr>
      <w:r>
        <w:rPr>
          <w:rFonts w:cs="Arial" w:ascii="Arial" w:hAnsi="Arial"/>
          <w:sz w:val="22"/>
          <w:szCs w:val="22"/>
          <w:lang w:val="en-GB"/>
        </w:rPr>
      </w:r>
    </w:p>
    <w:p>
      <w:pPr>
        <w:pStyle w:val="Normal"/>
        <w:ind w:right="-1530" w:hanging="0"/>
        <w:rPr>
          <w:rFonts w:ascii="Arial" w:hAnsi="Arial" w:cs="Arial"/>
          <w:sz w:val="22"/>
          <w:szCs w:val="22"/>
          <w:lang w:val="en-GB"/>
        </w:rPr>
      </w:pPr>
      <w:r>
        <w:rPr>
          <w:rFonts w:cs="Arial" w:ascii="Arial" w:hAnsi="Arial"/>
          <w:sz w:val="22"/>
          <w:szCs w:val="22"/>
          <w:lang w:val="en-GB"/>
        </w:rPr>
      </w:r>
    </w:p>
    <w:p>
      <w:pPr>
        <w:pStyle w:val="Normal"/>
        <w:ind w:right="-1530" w:hanging="0"/>
        <w:rPr>
          <w:rFonts w:ascii="Arial" w:hAnsi="Arial" w:cs="Arial"/>
          <w:sz w:val="22"/>
          <w:szCs w:val="22"/>
          <w:lang w:val="en-GB"/>
        </w:rPr>
      </w:pPr>
      <w:r>
        <w:rPr>
          <w:rFonts w:cs="Arial" w:ascii="Arial" w:hAnsi="Arial"/>
          <w:sz w:val="22"/>
          <w:szCs w:val="22"/>
          <w:lang w:val="en-GB"/>
        </w:rPr>
      </w:r>
    </w:p>
    <w:p>
      <w:pPr>
        <w:pStyle w:val="Normal"/>
        <w:ind w:right="-1530" w:hanging="0"/>
        <w:rPr>
          <w:rFonts w:ascii="Arial" w:hAnsi="Arial" w:cs="Arial"/>
          <w:sz w:val="22"/>
          <w:szCs w:val="22"/>
          <w:lang w:val="en-GB"/>
        </w:rPr>
      </w:pPr>
      <w:r>
        <w:rPr>
          <w:rFonts w:cs="Arial" w:ascii="Arial" w:hAnsi="Arial"/>
          <w:sz w:val="22"/>
          <w:szCs w:val="22"/>
          <w:lang w:val="en-GB"/>
        </w:rPr>
      </w:r>
    </w:p>
    <w:p>
      <w:pPr>
        <w:pStyle w:val="Heading2"/>
        <w:rPr>
          <w:rFonts w:ascii="Arial" w:hAnsi="Arial"/>
          <w:lang w:val="en-GB"/>
        </w:rPr>
      </w:pPr>
      <w:r>
        <w:rPr/>
      </w:r>
      <w:r>
        <w:br w:type="page"/>
      </w:r>
    </w:p>
    <w:p>
      <w:pPr>
        <w:pStyle w:val="Heading2"/>
        <w:rPr>
          <w:rFonts w:ascii="Arial" w:hAnsi="Arial"/>
          <w:lang w:val="en-GB"/>
        </w:rPr>
      </w:pPr>
      <w:bookmarkStart w:id="792" w:name="_Toc421454329"/>
      <w:bookmarkStart w:id="793" w:name="_Toc35414667"/>
      <w:bookmarkStart w:id="794" w:name="_Toc488460301"/>
      <w:bookmarkEnd w:id="793"/>
      <w:bookmarkEnd w:id="794"/>
      <w:r>
        <w:rPr>
          <w:rFonts w:ascii="Arial" w:hAnsi="Arial"/>
          <w:lang w:val="en-GB"/>
        </w:rPr>
        <w:t>Price Schedule for Related Services (Form PG3-4B)</w:t>
      </w:r>
      <w:bookmarkEnd w:id="792"/>
      <w:r>
        <w:rPr>
          <w:rFonts w:ascii="Arial" w:hAnsi="Arial"/>
          <w:lang w:val="en-GB"/>
        </w:rPr>
        <w:t>1</w:t>
      </w:r>
    </w:p>
    <w:tbl>
      <w:tblPr>
        <w:tblW w:w="14328" w:type="dxa"/>
        <w:jc w:val="left"/>
        <w:tblInd w:w="0" w:type="dxa"/>
        <w:tblLayout w:type="fixed"/>
        <w:tblCellMar>
          <w:top w:w="0" w:type="dxa"/>
          <w:left w:w="108" w:type="dxa"/>
          <w:bottom w:w="0" w:type="dxa"/>
          <w:right w:w="108" w:type="dxa"/>
        </w:tblCellMar>
        <w:tblLook w:val="01e0" w:noHBand="0" w:noVBand="0" w:firstColumn="1" w:lastRow="1" w:lastColumn="1" w:firstRow="1"/>
      </w:tblPr>
      <w:tblGrid>
        <w:gridCol w:w="2627"/>
        <w:gridCol w:w="2521"/>
        <w:gridCol w:w="1799"/>
        <w:gridCol w:w="7380"/>
      </w:tblGrid>
      <w:tr>
        <w:trPr/>
        <w:tc>
          <w:tcPr>
            <w:tcW w:w="2627" w:type="dxa"/>
            <w:tcBorders>
              <w:top w:val="single" w:sz="6" w:space="0" w:color="000000"/>
              <w:left w:val="single" w:sz="6" w:space="0" w:color="000000"/>
              <w:bottom w:val="single" w:sz="6" w:space="0" w:color="000000"/>
              <w:right w:val="single" w:sz="6" w:space="0" w:color="000000"/>
            </w:tcBorders>
          </w:tcPr>
          <w:p>
            <w:pPr>
              <w:pStyle w:val="Normal"/>
              <w:widowControl w:val="false"/>
              <w:rPr>
                <w:rFonts w:ascii="Arial" w:hAnsi="Arial" w:cs="Arial"/>
                <w:sz w:val="22"/>
                <w:szCs w:val="22"/>
                <w:lang w:val="en-GB"/>
              </w:rPr>
            </w:pPr>
            <w:r>
              <w:rPr>
                <w:rFonts w:cs="Arial" w:ascii="Arial" w:hAnsi="Arial"/>
                <w:sz w:val="22"/>
                <w:szCs w:val="22"/>
                <w:lang w:val="en-GB"/>
              </w:rPr>
              <w:t>Invitation for Tender No:</w:t>
            </w:r>
          </w:p>
        </w:tc>
        <w:tc>
          <w:tcPr>
            <w:tcW w:w="2521" w:type="dxa"/>
            <w:tcBorders>
              <w:top w:val="single" w:sz="6" w:space="0" w:color="000000"/>
              <w:left w:val="single" w:sz="6" w:space="0" w:color="000000"/>
              <w:bottom w:val="single" w:sz="6" w:space="0" w:color="000000"/>
              <w:right w:val="single" w:sz="6" w:space="0" w:color="000000"/>
            </w:tcBorders>
          </w:tcPr>
          <w:p>
            <w:pPr>
              <w:pStyle w:val="Normal"/>
              <w:widowControl w:val="false"/>
              <w:ind w:left="-107" w:hanging="0"/>
              <w:rPr>
                <w:rFonts w:ascii="Arial" w:hAnsi="Arial" w:cs="Arial"/>
                <w:sz w:val="22"/>
                <w:szCs w:val="22"/>
                <w:lang w:val="en-GB"/>
              </w:rPr>
            </w:pPr>
            <w:r>
              <w:rPr>
                <w:rFonts w:eastAsia="Times New Roman" w:cs="Arial" w:ascii="Arial" w:hAnsi="Arial"/>
                <w:b/>
                <w:spacing w:val="-6"/>
                <w:w w:val="90"/>
                <w:sz w:val="22"/>
                <w:lang w:val="en-GB"/>
              </w:rPr>
              <w:t>DU/CAO/OTM/2023/147/001</w:t>
            </w:r>
          </w:p>
        </w:tc>
        <w:tc>
          <w:tcPr>
            <w:tcW w:w="1799" w:type="dxa"/>
            <w:tcBorders>
              <w:top w:val="single" w:sz="6" w:space="0" w:color="000000"/>
              <w:left w:val="single" w:sz="6" w:space="0" w:color="000000"/>
              <w:bottom w:val="single" w:sz="6" w:space="0" w:color="000000"/>
              <w:right w:val="single" w:sz="6" w:space="0" w:color="000000"/>
            </w:tcBorders>
          </w:tcPr>
          <w:p>
            <w:pPr>
              <w:pStyle w:val="Normal"/>
              <w:widowControl w:val="false"/>
              <w:rPr>
                <w:rFonts w:ascii="Arial" w:hAnsi="Arial" w:cs="Arial"/>
                <w:sz w:val="22"/>
                <w:szCs w:val="22"/>
                <w:lang w:val="en-GB"/>
              </w:rPr>
            </w:pPr>
            <w:r>
              <w:rPr>
                <w:rFonts w:cs="Arial" w:ascii="Arial" w:hAnsi="Arial"/>
                <w:sz w:val="22"/>
                <w:szCs w:val="22"/>
                <w:lang w:val="en-GB"/>
              </w:rPr>
              <w:t>Date:</w:t>
            </w:r>
          </w:p>
        </w:tc>
        <w:tc>
          <w:tcPr>
            <w:tcW w:w="7380" w:type="dxa"/>
            <w:tcBorders>
              <w:top w:val="single" w:sz="6" w:space="0" w:color="000000"/>
              <w:left w:val="single" w:sz="6" w:space="0" w:color="000000"/>
              <w:bottom w:val="single" w:sz="6" w:space="0" w:color="000000"/>
              <w:right w:val="single" w:sz="6" w:space="0" w:color="000000"/>
            </w:tcBorders>
          </w:tcPr>
          <w:p>
            <w:pPr>
              <w:pStyle w:val="Normal"/>
              <w:widowControl w:val="false"/>
              <w:rPr>
                <w:rFonts w:ascii="Arial" w:hAnsi="Arial" w:cs="Arial"/>
                <w:sz w:val="22"/>
                <w:szCs w:val="22"/>
                <w:lang w:val="en-GB"/>
              </w:rPr>
            </w:pPr>
            <w:r>
              <w:rPr>
                <w:rFonts w:eastAsia="Times New Roman" w:cs="Arial" w:ascii="Arial" w:hAnsi="Arial"/>
                <w:b/>
                <w:sz w:val="20"/>
                <w:szCs w:val="22"/>
                <w:lang w:val="en-GB"/>
              </w:rPr>
              <w:t>15.02.2023</w:t>
            </w:r>
          </w:p>
        </w:tc>
      </w:tr>
      <w:tr>
        <w:trPr/>
        <w:tc>
          <w:tcPr>
            <w:tcW w:w="2627" w:type="dxa"/>
            <w:tcBorders>
              <w:top w:val="single" w:sz="6" w:space="0" w:color="000000"/>
              <w:left w:val="single" w:sz="6" w:space="0" w:color="000000"/>
              <w:bottom w:val="single" w:sz="6" w:space="0" w:color="000000"/>
              <w:right w:val="single" w:sz="6" w:space="0" w:color="000000"/>
            </w:tcBorders>
          </w:tcPr>
          <w:p>
            <w:pPr>
              <w:pStyle w:val="Normal"/>
              <w:widowControl w:val="false"/>
              <w:rPr>
                <w:rFonts w:ascii="Arial" w:hAnsi="Arial" w:cs="Arial"/>
                <w:sz w:val="22"/>
                <w:szCs w:val="22"/>
                <w:lang w:val="en-GB"/>
              </w:rPr>
            </w:pPr>
            <w:r>
              <w:rPr>
                <w:rFonts w:cs="Arial" w:ascii="Arial" w:hAnsi="Arial"/>
                <w:sz w:val="22"/>
                <w:szCs w:val="22"/>
                <w:lang w:val="en-GB"/>
              </w:rPr>
              <w:t>Tender Package No:</w:t>
            </w:r>
          </w:p>
        </w:tc>
        <w:tc>
          <w:tcPr>
            <w:tcW w:w="2521" w:type="dxa"/>
            <w:tcBorders>
              <w:top w:val="single" w:sz="6" w:space="0" w:color="000000"/>
              <w:left w:val="single" w:sz="6" w:space="0" w:color="000000"/>
              <w:bottom w:val="single" w:sz="6" w:space="0" w:color="000000"/>
              <w:right w:val="single" w:sz="6" w:space="0" w:color="000000"/>
            </w:tcBorders>
          </w:tcPr>
          <w:p>
            <w:pPr>
              <w:pStyle w:val="Normal"/>
              <w:widowControl w:val="false"/>
              <w:ind w:left="-107" w:hanging="0"/>
              <w:rPr>
                <w:rFonts w:ascii="Arial" w:hAnsi="Arial" w:cs="Arial"/>
                <w:sz w:val="22"/>
                <w:szCs w:val="22"/>
                <w:lang w:val="en-GB"/>
              </w:rPr>
            </w:pPr>
            <w:r>
              <w:rPr>
                <w:rFonts w:cs="Arial" w:ascii="Arial" w:hAnsi="Arial"/>
                <w:sz w:val="22"/>
                <w:szCs w:val="22"/>
                <w:lang w:val="en-GB"/>
              </w:rPr>
            </w:r>
          </w:p>
        </w:tc>
        <w:tc>
          <w:tcPr>
            <w:tcW w:w="1799" w:type="dxa"/>
            <w:tcBorders>
              <w:top w:val="single" w:sz="6" w:space="0" w:color="000000"/>
              <w:left w:val="single" w:sz="6" w:space="0" w:color="000000"/>
              <w:bottom w:val="single" w:sz="6" w:space="0" w:color="000000"/>
              <w:right w:val="single" w:sz="6" w:space="0" w:color="000000"/>
            </w:tcBorders>
          </w:tcPr>
          <w:p>
            <w:pPr>
              <w:pStyle w:val="Normal"/>
              <w:widowControl w:val="false"/>
              <w:rPr>
                <w:rFonts w:ascii="Arial" w:hAnsi="Arial" w:cs="Arial"/>
                <w:sz w:val="22"/>
                <w:szCs w:val="22"/>
                <w:lang w:val="en-GB"/>
              </w:rPr>
            </w:pPr>
            <w:r>
              <w:rPr>
                <w:rFonts w:cs="Arial" w:ascii="Arial" w:hAnsi="Arial"/>
                <w:sz w:val="22"/>
                <w:szCs w:val="22"/>
                <w:lang w:val="en-GB"/>
              </w:rPr>
            </w:r>
          </w:p>
        </w:tc>
        <w:tc>
          <w:tcPr>
            <w:tcW w:w="7380" w:type="dxa"/>
            <w:tcBorders>
              <w:top w:val="single" w:sz="6" w:space="0" w:color="000000"/>
              <w:left w:val="single" w:sz="6" w:space="0" w:color="000000"/>
              <w:bottom w:val="single" w:sz="6" w:space="0" w:color="000000"/>
              <w:right w:val="single" w:sz="6" w:space="0" w:color="000000"/>
            </w:tcBorders>
          </w:tcPr>
          <w:p>
            <w:pPr>
              <w:pStyle w:val="Normal"/>
              <w:widowControl w:val="false"/>
              <w:rPr>
                <w:rFonts w:ascii="Arial" w:hAnsi="Arial" w:cs="Arial"/>
                <w:sz w:val="22"/>
                <w:szCs w:val="22"/>
                <w:lang w:val="en-GB"/>
              </w:rPr>
            </w:pPr>
            <w:r>
              <w:rPr>
                <w:rFonts w:cs="Arial" w:ascii="Arial" w:hAnsi="Arial"/>
                <w:sz w:val="22"/>
                <w:szCs w:val="22"/>
                <w:lang w:val="en-GB"/>
              </w:rPr>
            </w:r>
          </w:p>
        </w:tc>
      </w:tr>
      <w:tr>
        <w:trPr/>
        <w:tc>
          <w:tcPr>
            <w:tcW w:w="2627" w:type="dxa"/>
            <w:tcBorders>
              <w:top w:val="single" w:sz="6" w:space="0" w:color="000000"/>
              <w:left w:val="single" w:sz="6" w:space="0" w:color="000000"/>
              <w:bottom w:val="single" w:sz="6" w:space="0" w:color="000000"/>
              <w:right w:val="single" w:sz="6" w:space="0" w:color="000000"/>
            </w:tcBorders>
          </w:tcPr>
          <w:p>
            <w:pPr>
              <w:pStyle w:val="Normal"/>
              <w:widowControl w:val="false"/>
              <w:rPr>
                <w:rFonts w:ascii="Arial" w:hAnsi="Arial" w:cs="Arial"/>
                <w:sz w:val="22"/>
                <w:szCs w:val="22"/>
                <w:lang w:val="en-GB"/>
              </w:rPr>
            </w:pPr>
            <w:r>
              <w:rPr>
                <w:rFonts w:cs="Arial" w:ascii="Arial" w:hAnsi="Arial"/>
                <w:sz w:val="22"/>
                <w:szCs w:val="22"/>
                <w:lang w:val="en-GB"/>
              </w:rPr>
              <w:t>Tender Lot No:</w:t>
            </w:r>
          </w:p>
        </w:tc>
        <w:tc>
          <w:tcPr>
            <w:tcW w:w="2521" w:type="dxa"/>
            <w:tcBorders>
              <w:top w:val="single" w:sz="6" w:space="0" w:color="000000"/>
              <w:left w:val="single" w:sz="6" w:space="0" w:color="000000"/>
              <w:bottom w:val="single" w:sz="6" w:space="0" w:color="000000"/>
              <w:right w:val="single" w:sz="6" w:space="0" w:color="000000"/>
            </w:tcBorders>
          </w:tcPr>
          <w:p>
            <w:pPr>
              <w:pStyle w:val="Normal"/>
              <w:widowControl w:val="false"/>
              <w:rPr>
                <w:rFonts w:ascii="Arial" w:hAnsi="Arial" w:cs="Arial"/>
                <w:sz w:val="22"/>
                <w:szCs w:val="22"/>
                <w:lang w:val="en-GB"/>
              </w:rPr>
            </w:pPr>
            <w:r>
              <w:rPr>
                <w:rFonts w:cs="Arial" w:ascii="Arial" w:hAnsi="Arial"/>
                <w:sz w:val="22"/>
                <w:szCs w:val="22"/>
                <w:lang w:val="en-GB"/>
              </w:rPr>
            </w:r>
          </w:p>
        </w:tc>
        <w:tc>
          <w:tcPr>
            <w:tcW w:w="1799" w:type="dxa"/>
            <w:tcBorders>
              <w:top w:val="single" w:sz="6" w:space="0" w:color="000000"/>
              <w:left w:val="single" w:sz="6" w:space="0" w:color="000000"/>
              <w:bottom w:val="single" w:sz="6" w:space="0" w:color="000000"/>
              <w:right w:val="single" w:sz="6" w:space="0" w:color="000000"/>
            </w:tcBorders>
          </w:tcPr>
          <w:p>
            <w:pPr>
              <w:pStyle w:val="Normal"/>
              <w:widowControl w:val="false"/>
              <w:rPr>
                <w:rFonts w:ascii="Arial" w:hAnsi="Arial" w:cs="Arial"/>
                <w:sz w:val="22"/>
                <w:szCs w:val="22"/>
                <w:lang w:val="en-GB"/>
              </w:rPr>
            </w:pPr>
            <w:r>
              <w:rPr>
                <w:rFonts w:cs="Arial" w:ascii="Arial" w:hAnsi="Arial"/>
                <w:sz w:val="22"/>
                <w:szCs w:val="22"/>
                <w:lang w:val="en-GB"/>
              </w:rPr>
            </w:r>
          </w:p>
        </w:tc>
        <w:tc>
          <w:tcPr>
            <w:tcW w:w="7380" w:type="dxa"/>
            <w:tcBorders>
              <w:top w:val="single" w:sz="6" w:space="0" w:color="000000"/>
              <w:left w:val="single" w:sz="6" w:space="0" w:color="000000"/>
              <w:bottom w:val="single" w:sz="6" w:space="0" w:color="000000"/>
              <w:right w:val="single" w:sz="6" w:space="0" w:color="000000"/>
            </w:tcBorders>
          </w:tcPr>
          <w:p>
            <w:pPr>
              <w:pStyle w:val="Title"/>
              <w:widowControl w:val="false"/>
              <w:ind w:left="702" w:hanging="702"/>
              <w:jc w:val="left"/>
              <w:rPr>
                <w:rFonts w:ascii="Arial" w:hAnsi="Arial" w:cs="Arial"/>
                <w:b w:val="false"/>
                <w:b w:val="false"/>
                <w:sz w:val="22"/>
                <w:szCs w:val="32"/>
                <w:lang w:val="en-GB"/>
              </w:rPr>
            </w:pPr>
            <w:r>
              <w:rPr>
                <w:rFonts w:cs="Arial" w:ascii="Arial" w:hAnsi="Arial"/>
                <w:b w:val="false"/>
                <w:sz w:val="22"/>
                <w:szCs w:val="32"/>
                <w:lang w:val="en-GB"/>
              </w:rPr>
            </w:r>
          </w:p>
        </w:tc>
      </w:tr>
    </w:tbl>
    <w:p>
      <w:pPr>
        <w:pStyle w:val="Normal"/>
        <w:rPr>
          <w:rFonts w:ascii="Arial" w:hAnsi="Arial" w:cs="Arial"/>
          <w:sz w:val="22"/>
          <w:szCs w:val="22"/>
          <w:lang w:val="en-GB"/>
        </w:rPr>
      </w:pPr>
      <w:r>
        <w:rPr>
          <w:rFonts w:cs="Arial" w:ascii="Arial" w:hAnsi="Arial"/>
          <w:sz w:val="22"/>
          <w:szCs w:val="22"/>
          <w:lang w:val="en-GB"/>
        </w:rPr>
      </w:r>
    </w:p>
    <w:p>
      <w:pPr>
        <w:pStyle w:val="Normal"/>
        <w:suppressAutoHyphens w:val="true"/>
        <w:rPr>
          <w:rFonts w:ascii="Arial" w:hAnsi="Arial" w:cs="Arial"/>
          <w:b/>
          <w:b/>
          <w:bCs/>
          <w:sz w:val="22"/>
          <w:szCs w:val="22"/>
          <w:lang w:val="en-GB"/>
        </w:rPr>
      </w:pPr>
      <w:r>
        <w:rPr>
          <w:rFonts w:cs="Arial" w:ascii="Arial" w:hAnsi="Arial"/>
          <w:b/>
          <w:bCs/>
          <w:sz w:val="22"/>
          <w:szCs w:val="22"/>
          <w:lang w:val="en-GB"/>
        </w:rPr>
        <w:t>B: PRICE OF RELATED SERVICES (Including Incidental services, if any) AND COMPLETION SCHEDULE</w:t>
      </w:r>
    </w:p>
    <w:p>
      <w:pPr>
        <w:pStyle w:val="Normal"/>
        <w:suppressAutoHyphens w:val="true"/>
        <w:rPr>
          <w:rFonts w:ascii="Arial" w:hAnsi="Arial" w:cs="Arial"/>
          <w:b/>
          <w:b/>
          <w:bCs/>
          <w:sz w:val="10"/>
          <w:szCs w:val="22"/>
          <w:lang w:val="en-GB"/>
        </w:rPr>
      </w:pPr>
      <w:r>
        <w:rPr>
          <w:rFonts w:cs="Arial" w:ascii="Arial" w:hAnsi="Arial"/>
          <w:b/>
          <w:bCs/>
          <w:sz w:val="10"/>
          <w:szCs w:val="22"/>
          <w:lang w:val="en-GB"/>
        </w:rPr>
      </w:r>
    </w:p>
    <w:tbl>
      <w:tblPr>
        <w:tblW w:w="14292" w:type="dxa"/>
        <w:jc w:val="left"/>
        <w:tblInd w:w="0" w:type="dxa"/>
        <w:tblLayout w:type="fixed"/>
        <w:tblCellMar>
          <w:top w:w="0" w:type="dxa"/>
          <w:left w:w="72" w:type="dxa"/>
          <w:bottom w:w="0" w:type="dxa"/>
          <w:right w:w="72" w:type="dxa"/>
        </w:tblCellMar>
        <w:tblLook w:val="0000" w:noHBand="0" w:noVBand="0" w:firstColumn="0" w:lastRow="0" w:lastColumn="0" w:firstRow="0"/>
      </w:tblPr>
      <w:tblGrid>
        <w:gridCol w:w="791"/>
        <w:gridCol w:w="4141"/>
        <w:gridCol w:w="990"/>
        <w:gridCol w:w="1529"/>
        <w:gridCol w:w="1082"/>
        <w:gridCol w:w="1079"/>
        <w:gridCol w:w="1349"/>
        <w:gridCol w:w="1443"/>
        <w:gridCol w:w="1886"/>
      </w:tblGrid>
      <w:tr>
        <w:trPr>
          <w:cantSplit w:val="true"/>
        </w:trPr>
        <w:tc>
          <w:tcPr>
            <w:tcW w:w="79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1</w:t>
            </w:r>
          </w:p>
        </w:tc>
        <w:tc>
          <w:tcPr>
            <w:tcW w:w="414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2</w:t>
            </w:r>
          </w:p>
        </w:tc>
        <w:tc>
          <w:tcPr>
            <w:tcW w:w="99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3</w:t>
            </w:r>
          </w:p>
        </w:tc>
        <w:tc>
          <w:tcPr>
            <w:tcW w:w="152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3</w:t>
            </w:r>
          </w:p>
        </w:tc>
        <w:tc>
          <w:tcPr>
            <w:tcW w:w="108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4</w:t>
            </w:r>
          </w:p>
        </w:tc>
        <w:tc>
          <w:tcPr>
            <w:tcW w:w="107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5</w:t>
            </w:r>
          </w:p>
        </w:tc>
        <w:tc>
          <w:tcPr>
            <w:tcW w:w="134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6</w:t>
            </w:r>
          </w:p>
        </w:tc>
        <w:tc>
          <w:tcPr>
            <w:tcW w:w="1443"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7</w:t>
            </w:r>
          </w:p>
        </w:tc>
        <w:tc>
          <w:tcPr>
            <w:tcW w:w="1886"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r>
          </w:p>
        </w:tc>
      </w:tr>
      <w:tr>
        <w:trPr>
          <w:cantSplit w:val="true"/>
        </w:trPr>
        <w:tc>
          <w:tcPr>
            <w:tcW w:w="79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Item</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No</w:t>
            </w:r>
          </w:p>
        </w:tc>
        <w:tc>
          <w:tcPr>
            <w:tcW w:w="414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Description</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Of Item</w:t>
            </w:r>
          </w:p>
        </w:tc>
        <w:tc>
          <w:tcPr>
            <w:tcW w:w="99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Country of</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Origin</w:t>
            </w:r>
          </w:p>
        </w:tc>
        <w:tc>
          <w:tcPr>
            <w:tcW w:w="152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Unit of Measurement</w:t>
            </w:r>
          </w:p>
        </w:tc>
        <w:tc>
          <w:tcPr>
            <w:tcW w:w="108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Qty</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Of units</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Required</w:t>
            </w:r>
          </w:p>
        </w:tc>
        <w:tc>
          <w:tcPr>
            <w:tcW w:w="107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Unit price</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r>
          </w:p>
        </w:tc>
        <w:tc>
          <w:tcPr>
            <w:tcW w:w="134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Total price</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 xml:space="preserve">(col. 4 </w:t>
            </w:r>
            <w:r>
              <w:rPr>
                <w:rFonts w:eastAsia="Symbol" w:cs="Symbol" w:ascii="Symbol" w:hAnsi="Symbol"/>
                <w:sz w:val="22"/>
                <w:szCs w:val="22"/>
                <w:lang w:val="en-GB"/>
              </w:rPr>
              <w:t></w:t>
            </w:r>
            <w:r>
              <w:rPr>
                <w:rFonts w:cs="Arial" w:ascii="Arial" w:hAnsi="Arial"/>
                <w:sz w:val="22"/>
                <w:szCs w:val="22"/>
                <w:lang w:val="en-GB"/>
              </w:rPr>
              <w:t xml:space="preserve"> 5)</w:t>
            </w:r>
          </w:p>
        </w:tc>
        <w:tc>
          <w:tcPr>
            <w:tcW w:w="1443"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Point of Completion as per Schedule of Requirement</w:t>
            </w:r>
          </w:p>
        </w:tc>
        <w:tc>
          <w:tcPr>
            <w:tcW w:w="1886"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Completion Schedule</w:t>
            </w:r>
          </w:p>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t>Offered as per Schedule of Requirement</w:t>
            </w:r>
          </w:p>
        </w:tc>
      </w:tr>
      <w:tr>
        <w:trPr>
          <w:trHeight w:val="345" w:hRule="atLeast"/>
          <w:cantSplit w:val="true"/>
        </w:trPr>
        <w:tc>
          <w:tcPr>
            <w:tcW w:w="14290" w:type="dxa"/>
            <w:gridSpan w:val="9"/>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spacing w:before="0" w:after="120"/>
              <w:rPr>
                <w:b/>
                <w:b/>
                <w:w w:val="95"/>
                <w:sz w:val="22"/>
                <w:szCs w:val="32"/>
                <w:lang w:val="en-GB"/>
              </w:rPr>
            </w:pPr>
            <w:r>
              <w:rPr>
                <w:rFonts w:cs="Arial" w:ascii="Arial" w:hAnsi="Arial"/>
                <w:b/>
                <w:w w:val="95"/>
                <w:sz w:val="22"/>
                <w:szCs w:val="22"/>
                <w:lang w:val="en-GB"/>
              </w:rPr>
              <w:t xml:space="preserve">Lot-1: </w:t>
            </w:r>
            <w:r>
              <w:rPr>
                <w:rFonts w:cs="Arial" w:ascii="Arial" w:hAnsi="Arial"/>
                <w:b/>
                <w:w w:val="95"/>
                <w:sz w:val="22"/>
                <w:szCs w:val="32"/>
                <w:lang w:val="en-GB"/>
              </w:rPr>
              <w:t xml:space="preserve">PVC/PET ID card printer with laminator &amp; Encoder, Registered lamination film (Hologram Patch Roll), </w:t>
            </w:r>
            <w:r>
              <w:rPr>
                <w:b/>
                <w:w w:val="95"/>
                <w:sz w:val="22"/>
                <w:szCs w:val="32"/>
                <w:lang w:val="en-GB"/>
              </w:rPr>
              <w:t>Color Ribbon (Original), Cleaning Kit</w:t>
            </w:r>
          </w:p>
        </w:tc>
      </w:tr>
      <w:tr>
        <w:trPr>
          <w:trHeight w:val="2607" w:hRule="exact"/>
          <w:cantSplit w:val="true"/>
        </w:trPr>
        <w:tc>
          <w:tcPr>
            <w:tcW w:w="79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2"/>
                <w:szCs w:val="22"/>
                <w:lang w:val="en-GB"/>
              </w:rPr>
            </w:pPr>
            <w:r>
              <w:rPr>
                <w:rFonts w:cs="Arial" w:ascii="Arial" w:hAnsi="Arial"/>
                <w:sz w:val="12"/>
                <w:szCs w:val="22"/>
                <w:lang w:val="en-GB"/>
              </w:rPr>
            </w:r>
          </w:p>
        </w:tc>
        <w:tc>
          <w:tcPr>
            <w:tcW w:w="4141" w:type="dxa"/>
            <w:tcBorders>
              <w:top w:val="single" w:sz="6" w:space="0" w:color="000000"/>
              <w:left w:val="single" w:sz="6" w:space="0" w:color="000000"/>
              <w:bottom w:val="single" w:sz="6" w:space="0" w:color="000000"/>
              <w:right w:val="single" w:sz="6" w:space="0" w:color="000000"/>
            </w:tcBorders>
            <w:vAlign w:val="bottom"/>
          </w:tcPr>
          <w:p>
            <w:pPr>
              <w:pStyle w:val="Normal"/>
              <w:widowControl w:val="false"/>
              <w:suppressAutoHyphens w:val="true"/>
              <w:snapToGrid w:val="false"/>
              <w:rPr>
                <w:sz w:val="22"/>
                <w:szCs w:val="22"/>
                <w:lang w:val="en-GB"/>
              </w:rPr>
            </w:pPr>
            <w:r>
              <w:rPr>
                <w:sz w:val="22"/>
                <w:szCs w:val="22"/>
                <w:lang w:val="en-GB"/>
              </w:rPr>
            </w:r>
          </w:p>
        </w:tc>
        <w:tc>
          <w:tcPr>
            <w:tcW w:w="99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52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08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sz w:val="14"/>
                <w:szCs w:val="20"/>
                <w:lang w:bidi="he-IL"/>
              </w:rPr>
            </w:pPr>
            <w:r>
              <w:rPr>
                <w:sz w:val="14"/>
                <w:szCs w:val="20"/>
                <w:lang w:bidi="he-IL"/>
              </w:rPr>
            </w:r>
          </w:p>
        </w:tc>
        <w:tc>
          <w:tcPr>
            <w:tcW w:w="107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r>
          </w:p>
        </w:tc>
        <w:tc>
          <w:tcPr>
            <w:tcW w:w="134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rFonts w:ascii="Arial" w:hAnsi="Arial" w:cs="Arial"/>
                <w:sz w:val="16"/>
                <w:szCs w:val="16"/>
                <w:lang w:val="en-GB"/>
              </w:rPr>
            </w:pPr>
            <w:r>
              <w:rPr>
                <w:rFonts w:cs="Arial" w:ascii="Arial" w:hAnsi="Arial"/>
                <w:sz w:val="16"/>
                <w:szCs w:val="16"/>
                <w:lang w:val="en-GB"/>
              </w:rPr>
            </w:r>
          </w:p>
        </w:tc>
        <w:tc>
          <w:tcPr>
            <w:tcW w:w="1443"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r>
          </w:p>
        </w:tc>
        <w:tc>
          <w:tcPr>
            <w:tcW w:w="1886"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r>
          </w:p>
        </w:tc>
      </w:tr>
      <w:tr>
        <w:trPr>
          <w:trHeight w:val="735" w:hRule="exact"/>
          <w:cantSplit w:val="true"/>
        </w:trPr>
        <w:tc>
          <w:tcPr>
            <w:tcW w:w="79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2"/>
                <w:szCs w:val="22"/>
                <w:lang w:val="en-GB"/>
              </w:rPr>
            </w:pPr>
            <w:r>
              <w:rPr>
                <w:rFonts w:cs="Arial" w:ascii="Arial" w:hAnsi="Arial"/>
                <w:sz w:val="12"/>
                <w:szCs w:val="22"/>
                <w:lang w:val="en-GB"/>
              </w:rPr>
            </w:r>
          </w:p>
        </w:tc>
        <w:tc>
          <w:tcPr>
            <w:tcW w:w="4141" w:type="dxa"/>
            <w:tcBorders>
              <w:top w:val="single" w:sz="6" w:space="0" w:color="000000"/>
              <w:left w:val="single" w:sz="6" w:space="0" w:color="000000"/>
              <w:bottom w:val="single" w:sz="6" w:space="0" w:color="000000"/>
              <w:right w:val="single" w:sz="6" w:space="0" w:color="000000"/>
            </w:tcBorders>
            <w:vAlign w:val="bottom"/>
          </w:tcPr>
          <w:p>
            <w:pPr>
              <w:pStyle w:val="Normal"/>
              <w:widowControl w:val="false"/>
              <w:suppressAutoHyphens w:val="true"/>
              <w:snapToGrid w:val="false"/>
              <w:rPr>
                <w:sz w:val="22"/>
                <w:szCs w:val="20"/>
                <w:lang w:bidi="he-IL"/>
              </w:rPr>
            </w:pPr>
            <w:r>
              <w:rPr>
                <w:sz w:val="22"/>
                <w:szCs w:val="20"/>
                <w:lang w:bidi="he-IL"/>
              </w:rPr>
            </w:r>
          </w:p>
        </w:tc>
        <w:tc>
          <w:tcPr>
            <w:tcW w:w="99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i/>
                <w:i/>
                <w:iCs/>
                <w:sz w:val="16"/>
                <w:szCs w:val="16"/>
                <w:lang w:val="en-GB"/>
              </w:rPr>
            </w:pPr>
            <w:r>
              <w:rPr>
                <w:rFonts w:cs="Arial" w:ascii="Arial" w:hAnsi="Arial"/>
                <w:i/>
                <w:iCs/>
                <w:sz w:val="16"/>
                <w:szCs w:val="16"/>
                <w:lang w:val="en-GB"/>
              </w:rPr>
            </w:r>
          </w:p>
        </w:tc>
        <w:tc>
          <w:tcPr>
            <w:tcW w:w="152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i/>
                <w:i/>
                <w:iCs/>
                <w:sz w:val="16"/>
                <w:szCs w:val="16"/>
                <w:lang w:val="en-GB"/>
              </w:rPr>
            </w:pPr>
            <w:r>
              <w:rPr>
                <w:rFonts w:cs="Arial" w:ascii="Arial" w:hAnsi="Arial"/>
                <w:i/>
                <w:iCs/>
                <w:sz w:val="16"/>
                <w:szCs w:val="16"/>
                <w:lang w:val="en-GB"/>
              </w:rPr>
            </w:r>
          </w:p>
        </w:tc>
        <w:tc>
          <w:tcPr>
            <w:tcW w:w="108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sz w:val="14"/>
                <w:szCs w:val="20"/>
                <w:lang w:bidi="he-IL"/>
              </w:rPr>
            </w:pPr>
            <w:r>
              <w:rPr>
                <w:sz w:val="14"/>
                <w:szCs w:val="20"/>
                <w:lang w:bidi="he-IL"/>
              </w:rPr>
            </w:r>
          </w:p>
        </w:tc>
        <w:tc>
          <w:tcPr>
            <w:tcW w:w="107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349"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rFonts w:ascii="Arial" w:hAnsi="Arial" w:cs="Arial"/>
                <w:sz w:val="16"/>
                <w:szCs w:val="16"/>
                <w:lang w:val="en-GB"/>
              </w:rPr>
            </w:pPr>
            <w:r>
              <w:rPr>
                <w:rFonts w:cs="Arial" w:ascii="Arial" w:hAnsi="Arial"/>
                <w:sz w:val="16"/>
                <w:szCs w:val="16"/>
                <w:lang w:val="en-GB"/>
              </w:rPr>
            </w:r>
          </w:p>
        </w:tc>
        <w:tc>
          <w:tcPr>
            <w:tcW w:w="1443"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886"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r>
    </w:tbl>
    <w:p>
      <w:pPr>
        <w:pStyle w:val="Normal"/>
        <w:suppressAutoHyphens w:val="true"/>
        <w:rPr>
          <w:rFonts w:ascii="Arial" w:hAnsi="Arial" w:cs="Arial"/>
          <w:sz w:val="16"/>
          <w:szCs w:val="16"/>
          <w:lang w:val="en-GB"/>
        </w:rPr>
      </w:pPr>
      <w:r>
        <w:rPr>
          <w:rFonts w:cs="Arial" w:ascii="Arial" w:hAnsi="Arial"/>
          <w:sz w:val="16"/>
          <w:szCs w:val="16"/>
          <w:lang w:val="en-GB"/>
        </w:rPr>
      </w:r>
    </w:p>
    <w:p>
      <w:pPr>
        <w:pStyle w:val="Normal"/>
        <w:suppressAutoHyphens w:val="true"/>
        <w:rPr>
          <w:rFonts w:ascii="Arial" w:hAnsi="Arial" w:cs="Arial"/>
          <w:sz w:val="8"/>
          <w:szCs w:val="16"/>
          <w:lang w:val="en-GB"/>
        </w:rPr>
      </w:pPr>
      <w:r>
        <w:rPr>
          <w:rFonts w:cs="Arial" w:ascii="Arial" w:hAnsi="Arial"/>
          <w:sz w:val="8"/>
          <w:szCs w:val="16"/>
          <w:lang w:val="en-GB"/>
        </w:rPr>
      </w:r>
    </w:p>
    <w:tbl>
      <w:tblPr>
        <w:tblW w:w="14022" w:type="dxa"/>
        <w:jc w:val="left"/>
        <w:tblInd w:w="0" w:type="dxa"/>
        <w:tblLayout w:type="fixed"/>
        <w:tblCellMar>
          <w:top w:w="0" w:type="dxa"/>
          <w:left w:w="72" w:type="dxa"/>
          <w:bottom w:w="0" w:type="dxa"/>
          <w:right w:w="72" w:type="dxa"/>
        </w:tblCellMar>
        <w:tblLook w:val="0000" w:noHBand="0" w:noVBand="0" w:firstColumn="0" w:lastRow="0" w:lastColumn="0" w:firstRow="0"/>
      </w:tblPr>
      <w:tblGrid>
        <w:gridCol w:w="792"/>
        <w:gridCol w:w="4139"/>
        <w:gridCol w:w="990"/>
        <w:gridCol w:w="1531"/>
        <w:gridCol w:w="1081"/>
        <w:gridCol w:w="1080"/>
        <w:gridCol w:w="1350"/>
        <w:gridCol w:w="1440"/>
        <w:gridCol w:w="1617"/>
      </w:tblGrid>
      <w:tr>
        <w:trPr>
          <w:trHeight w:val="798" w:hRule="exact"/>
          <w:cantSplit w:val="true"/>
        </w:trPr>
        <w:tc>
          <w:tcPr>
            <w:tcW w:w="79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2"/>
                <w:szCs w:val="22"/>
                <w:lang w:val="en-GB"/>
              </w:rPr>
            </w:pPr>
            <w:r>
              <w:rPr>
                <w:rFonts w:cs="Arial" w:ascii="Arial" w:hAnsi="Arial"/>
                <w:sz w:val="12"/>
                <w:szCs w:val="22"/>
                <w:lang w:val="en-GB"/>
              </w:rPr>
            </w:r>
          </w:p>
        </w:tc>
        <w:tc>
          <w:tcPr>
            <w:tcW w:w="4139" w:type="dxa"/>
            <w:tcBorders>
              <w:top w:val="single" w:sz="6" w:space="0" w:color="000000"/>
              <w:left w:val="single" w:sz="6" w:space="0" w:color="000000"/>
              <w:bottom w:val="single" w:sz="6" w:space="0" w:color="000000"/>
              <w:right w:val="single" w:sz="6" w:space="0" w:color="000000"/>
            </w:tcBorders>
            <w:vAlign w:val="bottom"/>
          </w:tcPr>
          <w:p>
            <w:pPr>
              <w:pStyle w:val="Normal"/>
              <w:widowControl w:val="false"/>
              <w:suppressAutoHyphens w:val="true"/>
              <w:snapToGrid w:val="false"/>
              <w:rPr>
                <w:b/>
                <w:b/>
                <w:sz w:val="22"/>
                <w:szCs w:val="32"/>
                <w:lang w:val="en-GB"/>
              </w:rPr>
            </w:pPr>
            <w:r>
              <w:rPr>
                <w:b/>
                <w:sz w:val="22"/>
                <w:szCs w:val="32"/>
                <w:lang w:val="en-GB"/>
              </w:rPr>
            </w:r>
          </w:p>
        </w:tc>
        <w:tc>
          <w:tcPr>
            <w:tcW w:w="99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53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08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sz w:val="14"/>
                <w:szCs w:val="20"/>
                <w:lang w:bidi="he-IL"/>
              </w:rPr>
            </w:pPr>
            <w:r>
              <w:rPr>
                <w:sz w:val="14"/>
                <w:szCs w:val="20"/>
                <w:lang w:bidi="he-IL"/>
              </w:rPr>
            </w:r>
          </w:p>
        </w:tc>
        <w:tc>
          <w:tcPr>
            <w:tcW w:w="108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r>
          </w:p>
        </w:tc>
        <w:tc>
          <w:tcPr>
            <w:tcW w:w="135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rFonts w:ascii="Arial" w:hAnsi="Arial" w:cs="Arial"/>
                <w:sz w:val="16"/>
                <w:szCs w:val="16"/>
                <w:lang w:val="en-GB"/>
              </w:rPr>
            </w:pPr>
            <w:r>
              <w:rPr>
                <w:rFonts w:cs="Arial" w:ascii="Arial" w:hAnsi="Arial"/>
                <w:sz w:val="16"/>
                <w:szCs w:val="16"/>
                <w:lang w:val="en-GB"/>
              </w:rPr>
            </w:r>
          </w:p>
        </w:tc>
        <w:tc>
          <w:tcPr>
            <w:tcW w:w="1440"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r>
          </w:p>
        </w:tc>
        <w:tc>
          <w:tcPr>
            <w:tcW w:w="1617"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r>
          </w:p>
        </w:tc>
      </w:tr>
      <w:tr>
        <w:trPr>
          <w:trHeight w:val="1707" w:hRule="exact"/>
          <w:cantSplit w:val="true"/>
        </w:trPr>
        <w:tc>
          <w:tcPr>
            <w:tcW w:w="79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2"/>
                <w:szCs w:val="22"/>
                <w:lang w:val="en-GB"/>
              </w:rPr>
            </w:pPr>
            <w:r>
              <w:rPr>
                <w:rFonts w:cs="Arial" w:ascii="Arial" w:hAnsi="Arial"/>
                <w:sz w:val="12"/>
                <w:szCs w:val="22"/>
                <w:lang w:val="en-GB"/>
              </w:rPr>
            </w:r>
          </w:p>
        </w:tc>
        <w:tc>
          <w:tcPr>
            <w:tcW w:w="4139" w:type="dxa"/>
            <w:tcBorders>
              <w:top w:val="single" w:sz="6" w:space="0" w:color="000000"/>
              <w:left w:val="single" w:sz="6" w:space="0" w:color="000000"/>
              <w:bottom w:val="single" w:sz="6" w:space="0" w:color="000000"/>
              <w:right w:val="single" w:sz="6" w:space="0" w:color="000000"/>
            </w:tcBorders>
            <w:vAlign w:val="bottom"/>
          </w:tcPr>
          <w:p>
            <w:pPr>
              <w:pStyle w:val="Normal"/>
              <w:widowControl w:val="false"/>
              <w:suppressAutoHyphens w:val="true"/>
              <w:snapToGrid w:val="false"/>
              <w:spacing w:before="0" w:after="120"/>
              <w:rPr>
                <w:b/>
                <w:b/>
                <w:sz w:val="22"/>
                <w:szCs w:val="32"/>
                <w:lang w:val="en-GB"/>
              </w:rPr>
            </w:pPr>
            <w:r>
              <w:rPr>
                <w:b/>
                <w:sz w:val="22"/>
                <w:szCs w:val="32"/>
                <w:lang w:val="en-GB"/>
              </w:rPr>
            </w:r>
          </w:p>
        </w:tc>
        <w:tc>
          <w:tcPr>
            <w:tcW w:w="99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i/>
                <w:i/>
                <w:iCs/>
                <w:sz w:val="16"/>
                <w:szCs w:val="16"/>
                <w:lang w:val="en-GB"/>
              </w:rPr>
            </w:pPr>
            <w:r>
              <w:rPr>
                <w:rFonts w:cs="Arial" w:ascii="Arial" w:hAnsi="Arial"/>
                <w:i/>
                <w:iCs/>
                <w:sz w:val="16"/>
                <w:szCs w:val="16"/>
                <w:lang w:val="en-GB"/>
              </w:rPr>
            </w:r>
          </w:p>
        </w:tc>
        <w:tc>
          <w:tcPr>
            <w:tcW w:w="153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i/>
                <w:i/>
                <w:iCs/>
                <w:sz w:val="16"/>
                <w:szCs w:val="16"/>
                <w:lang w:val="en-GB"/>
              </w:rPr>
            </w:pPr>
            <w:r>
              <w:rPr>
                <w:rFonts w:cs="Arial" w:ascii="Arial" w:hAnsi="Arial"/>
                <w:i/>
                <w:iCs/>
                <w:sz w:val="16"/>
                <w:szCs w:val="16"/>
                <w:lang w:val="en-GB"/>
              </w:rPr>
            </w:r>
          </w:p>
        </w:tc>
        <w:tc>
          <w:tcPr>
            <w:tcW w:w="108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22"/>
                <w:szCs w:val="22"/>
                <w:lang w:val="en-GB"/>
              </w:rPr>
            </w:pPr>
            <w:r>
              <w:rPr>
                <w:rFonts w:cs="Arial" w:ascii="Arial" w:hAnsi="Arial"/>
                <w:sz w:val="22"/>
                <w:szCs w:val="22"/>
                <w:lang w:val="en-GB"/>
              </w:rPr>
            </w:r>
          </w:p>
        </w:tc>
        <w:tc>
          <w:tcPr>
            <w:tcW w:w="108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35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rFonts w:ascii="Arial" w:hAnsi="Arial" w:cs="Arial"/>
                <w:sz w:val="16"/>
                <w:szCs w:val="16"/>
                <w:lang w:val="en-GB"/>
              </w:rPr>
            </w:pPr>
            <w:r>
              <w:rPr>
                <w:rFonts w:cs="Arial" w:ascii="Arial" w:hAnsi="Arial"/>
                <w:sz w:val="16"/>
                <w:szCs w:val="16"/>
                <w:lang w:val="en-GB"/>
              </w:rPr>
            </w:r>
          </w:p>
        </w:tc>
        <w:tc>
          <w:tcPr>
            <w:tcW w:w="1440"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617"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r>
      <w:tr>
        <w:trPr>
          <w:trHeight w:val="345" w:hRule="atLeast"/>
          <w:cantSplit w:val="true"/>
        </w:trPr>
        <w:tc>
          <w:tcPr>
            <w:tcW w:w="14020" w:type="dxa"/>
            <w:gridSpan w:val="9"/>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before="60" w:after="60"/>
              <w:rPr>
                <w:rFonts w:ascii="Arial" w:hAnsi="Arial" w:cs="Arial"/>
                <w:b/>
                <w:b/>
                <w:sz w:val="22"/>
                <w:szCs w:val="22"/>
                <w:lang w:val="en-GB"/>
              </w:rPr>
            </w:pPr>
            <w:r>
              <w:rPr>
                <w:rFonts w:cs="Arial" w:ascii="Arial" w:hAnsi="Arial"/>
                <w:b/>
                <w:sz w:val="22"/>
                <w:szCs w:val="22"/>
                <w:lang w:val="en-GB"/>
              </w:rPr>
            </w:r>
          </w:p>
        </w:tc>
      </w:tr>
      <w:tr>
        <w:trPr>
          <w:trHeight w:val="2220" w:hRule="exact"/>
          <w:cantSplit w:val="true"/>
        </w:trPr>
        <w:tc>
          <w:tcPr>
            <w:tcW w:w="79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2"/>
                <w:szCs w:val="22"/>
                <w:lang w:val="en-GB"/>
              </w:rPr>
            </w:pPr>
            <w:r>
              <w:rPr>
                <w:rFonts w:cs="Arial" w:ascii="Arial" w:hAnsi="Arial"/>
                <w:sz w:val="12"/>
                <w:szCs w:val="22"/>
                <w:lang w:val="en-GB"/>
              </w:rPr>
            </w:r>
          </w:p>
        </w:tc>
        <w:tc>
          <w:tcPr>
            <w:tcW w:w="4139" w:type="dxa"/>
            <w:tcBorders>
              <w:top w:val="single" w:sz="6" w:space="0" w:color="000000"/>
              <w:left w:val="single" w:sz="6" w:space="0" w:color="000000"/>
              <w:bottom w:val="single" w:sz="6" w:space="0" w:color="000000"/>
              <w:right w:val="single" w:sz="6" w:space="0" w:color="000000"/>
            </w:tcBorders>
            <w:vAlign w:val="bottom"/>
          </w:tcPr>
          <w:p>
            <w:pPr>
              <w:pStyle w:val="Normal"/>
              <w:widowControl w:val="false"/>
              <w:suppressAutoHyphens w:val="true"/>
              <w:snapToGrid w:val="false"/>
              <w:spacing w:before="120" w:after="120"/>
              <w:rPr>
                <w:b/>
                <w:b/>
                <w:sz w:val="22"/>
                <w:szCs w:val="32"/>
                <w:lang w:val="en-GB"/>
              </w:rPr>
            </w:pPr>
            <w:r>
              <w:rPr>
                <w:b/>
                <w:sz w:val="22"/>
                <w:szCs w:val="32"/>
                <w:lang w:val="en-GB"/>
              </w:rPr>
            </w:r>
          </w:p>
        </w:tc>
        <w:tc>
          <w:tcPr>
            <w:tcW w:w="99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53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sz w:val="16"/>
                <w:szCs w:val="16"/>
                <w:lang w:val="en-GB"/>
              </w:rPr>
            </w:pPr>
            <w:r>
              <w:rPr>
                <w:rFonts w:cs="Arial" w:ascii="Arial" w:hAnsi="Arial"/>
                <w:sz w:val="16"/>
                <w:szCs w:val="16"/>
                <w:lang w:val="en-GB"/>
              </w:rPr>
            </w:r>
          </w:p>
        </w:tc>
        <w:tc>
          <w:tcPr>
            <w:tcW w:w="108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sz w:val="14"/>
                <w:szCs w:val="20"/>
                <w:lang w:bidi="he-IL"/>
              </w:rPr>
            </w:pPr>
            <w:r>
              <w:rPr>
                <w:sz w:val="14"/>
                <w:szCs w:val="20"/>
                <w:lang w:bidi="he-IL"/>
              </w:rPr>
            </w:r>
          </w:p>
        </w:tc>
        <w:tc>
          <w:tcPr>
            <w:tcW w:w="108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r>
          </w:p>
        </w:tc>
        <w:tc>
          <w:tcPr>
            <w:tcW w:w="135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rFonts w:ascii="Arial" w:hAnsi="Arial" w:cs="Arial"/>
                <w:sz w:val="16"/>
                <w:szCs w:val="16"/>
                <w:lang w:val="en-GB"/>
              </w:rPr>
            </w:pPr>
            <w:r>
              <w:rPr>
                <w:rFonts w:cs="Arial" w:ascii="Arial" w:hAnsi="Arial"/>
                <w:sz w:val="16"/>
                <w:szCs w:val="16"/>
                <w:lang w:val="en-GB"/>
              </w:rPr>
            </w:r>
          </w:p>
        </w:tc>
        <w:tc>
          <w:tcPr>
            <w:tcW w:w="144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rFonts w:ascii="Arial" w:hAnsi="Arial" w:cs="Arial"/>
                <w:sz w:val="16"/>
                <w:szCs w:val="16"/>
                <w:lang w:val="en-GB"/>
              </w:rPr>
            </w:pPr>
            <w:r>
              <w:rPr>
                <w:rFonts w:cs="Arial" w:ascii="Arial" w:hAnsi="Arial"/>
                <w:sz w:val="16"/>
                <w:szCs w:val="16"/>
                <w:lang w:val="en-GB"/>
              </w:rPr>
            </w:r>
          </w:p>
        </w:tc>
        <w:tc>
          <w:tcPr>
            <w:tcW w:w="1617"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r>
          </w:p>
        </w:tc>
      </w:tr>
    </w:tbl>
    <w:p>
      <w:pPr>
        <w:pStyle w:val="Normal"/>
        <w:suppressAutoHyphens w:val="true"/>
        <w:rPr>
          <w:rFonts w:ascii="Arial" w:hAnsi="Arial" w:cs="Arial"/>
          <w:sz w:val="8"/>
          <w:szCs w:val="16"/>
          <w:lang w:val="en-GB"/>
        </w:rPr>
      </w:pPr>
      <w:r>
        <w:rPr>
          <w:rFonts w:cs="Arial" w:ascii="Arial" w:hAnsi="Arial"/>
          <w:sz w:val="8"/>
          <w:szCs w:val="16"/>
          <w:lang w:val="en-GB"/>
        </w:rPr>
      </w:r>
    </w:p>
    <w:p>
      <w:pPr>
        <w:pStyle w:val="Normal"/>
        <w:tabs>
          <w:tab w:val="clear" w:pos="720"/>
          <w:tab w:val="left" w:pos="11610" w:leader="none"/>
        </w:tabs>
        <w:ind w:left="720" w:right="4" w:hanging="720"/>
        <w:jc w:val="both"/>
        <w:rPr>
          <w:rFonts w:ascii="Arial" w:hAnsi="Arial" w:cs="Arial"/>
          <w:i/>
          <w:i/>
          <w:sz w:val="18"/>
          <w:szCs w:val="18"/>
          <w:lang w:val="en-GB"/>
        </w:rPr>
      </w:pPr>
      <w:r>
        <w:rPr>
          <w:rFonts w:cs="Arial" w:ascii="Arial" w:hAnsi="Arial"/>
          <w:b/>
          <w:i/>
          <w:sz w:val="18"/>
          <w:szCs w:val="18"/>
          <w:lang w:val="en-GB"/>
        </w:rPr>
        <w:t>Note 1:</w:t>
      </w:r>
      <w:r>
        <w:rPr>
          <w:rFonts w:cs="Arial" w:ascii="Arial" w:hAnsi="Arial"/>
          <w:sz w:val="18"/>
          <w:szCs w:val="18"/>
          <w:lang w:val="en-GB"/>
        </w:rPr>
        <w:t>All unit rates and prices quoted by the Tenderers against each basic item or activity shall include the Tenderer’s profit, overheads, VAT and all other charges including corresponding incidental service charges and premiums for banking and insurances, as applicable</w:t>
      </w:r>
      <w:r>
        <w:rPr>
          <w:rFonts w:cs="Arial" w:ascii="Arial" w:hAnsi="Arial"/>
          <w:i/>
          <w:sz w:val="18"/>
          <w:szCs w:val="18"/>
          <w:lang w:val="en-GB"/>
        </w:rPr>
        <w:t>, andshall be the delivered price in final destination or at point of delivery</w:t>
      </w:r>
      <w:r>
        <w:rPr>
          <w:rFonts w:cs="Arial" w:ascii="Arial" w:hAnsi="Arial"/>
          <w:sz w:val="18"/>
          <w:szCs w:val="18"/>
          <w:lang w:val="en-GB"/>
        </w:rPr>
        <w:t xml:space="preserve"> and,  thus forth the total Tender Price quoted by the Tenderers</w:t>
      </w:r>
      <w:r>
        <w:rPr>
          <w:rFonts w:cs="Arial" w:ascii="Arial" w:hAnsi="Arial"/>
          <w:i/>
          <w:sz w:val="18"/>
          <w:szCs w:val="18"/>
          <w:lang w:val="en-GB"/>
        </w:rPr>
        <w:t>.</w:t>
      </w:r>
    </w:p>
    <w:p>
      <w:pPr>
        <w:pStyle w:val="Normal"/>
        <w:tabs>
          <w:tab w:val="clear" w:pos="720"/>
          <w:tab w:val="left" w:pos="11610" w:leader="none"/>
        </w:tabs>
        <w:ind w:left="720" w:right="4" w:hanging="720"/>
        <w:jc w:val="both"/>
        <w:rPr>
          <w:rFonts w:ascii="Arial" w:hAnsi="Arial" w:cs="Arial"/>
          <w:i/>
          <w:i/>
          <w:sz w:val="18"/>
          <w:szCs w:val="18"/>
          <w:lang w:val="en-GB"/>
        </w:rPr>
      </w:pPr>
      <w:r>
        <w:rPr>
          <w:rFonts w:cs="Arial" w:ascii="Arial" w:hAnsi="Arial"/>
          <w:i/>
          <w:sz w:val="18"/>
          <w:szCs w:val="18"/>
          <w:lang w:val="en-GB"/>
        </w:rPr>
      </w:r>
    </w:p>
    <w:p>
      <w:pPr>
        <w:pStyle w:val="Normal"/>
        <w:tabs>
          <w:tab w:val="clear" w:pos="720"/>
          <w:tab w:val="left" w:pos="11610" w:leader="none"/>
        </w:tabs>
        <w:ind w:right="-1530" w:hanging="0"/>
        <w:rPr>
          <w:rFonts w:ascii="Arial" w:hAnsi="Arial" w:cs="Arial"/>
          <w:i/>
          <w:i/>
          <w:sz w:val="18"/>
          <w:szCs w:val="18"/>
          <w:lang w:val="en-GB"/>
        </w:rPr>
      </w:pPr>
      <w:r>
        <w:rPr>
          <w:rFonts w:cs="Arial" w:ascii="Arial" w:hAnsi="Arial"/>
          <w:b/>
          <w:i/>
          <w:sz w:val="18"/>
          <w:szCs w:val="18"/>
          <w:lang w:val="en-GB"/>
        </w:rPr>
        <w:t>Note 2:</w:t>
      </w:r>
      <w:r>
        <w:rPr>
          <w:rFonts w:cs="Arial" w:ascii="Arial" w:hAnsi="Arial"/>
          <w:i/>
          <w:sz w:val="18"/>
          <w:szCs w:val="18"/>
          <w:lang w:val="en-GB"/>
        </w:rPr>
        <w:t xml:space="preserve"> Tenderers  will complete these columns as appropriate following the details specified in Section 6: Schedule of Requirements</w:t>
      </w:r>
    </w:p>
    <w:p>
      <w:pPr>
        <w:pStyle w:val="Normal"/>
        <w:tabs>
          <w:tab w:val="clear" w:pos="720"/>
          <w:tab w:val="left" w:pos="11610" w:leader="none"/>
        </w:tabs>
        <w:ind w:right="-1530" w:hanging="0"/>
        <w:rPr>
          <w:rFonts w:ascii="Arial" w:hAnsi="Arial" w:cs="Arial"/>
          <w:sz w:val="12"/>
          <w:szCs w:val="18"/>
          <w:lang w:val="en-GB"/>
        </w:rPr>
      </w:pPr>
      <w:r>
        <w:rPr>
          <w:rFonts w:cs="Arial" w:ascii="Arial" w:hAnsi="Arial"/>
          <w:sz w:val="12"/>
          <w:szCs w:val="18"/>
          <w:lang w:val="en-GB"/>
        </w:rPr>
      </w:r>
    </w:p>
    <w:p>
      <w:pPr>
        <w:pStyle w:val="Normal"/>
        <w:suppressAutoHyphens w:val="true"/>
        <w:rPr>
          <w:rFonts w:ascii="Arial" w:hAnsi="Arial" w:cs="Arial"/>
          <w:sz w:val="16"/>
          <w:szCs w:val="16"/>
          <w:lang w:val="en-GB"/>
        </w:rPr>
      </w:pPr>
      <w:r>
        <w:rPr>
          <w:rFonts w:cs="Arial" w:ascii="Arial" w:hAnsi="Arial"/>
          <w:sz w:val="16"/>
          <w:szCs w:val="16"/>
          <w:lang w:val="en-GB"/>
        </w:rPr>
      </w:r>
    </w:p>
    <w:tbl>
      <w:tblPr>
        <w:tblpPr w:bottomFromText="0" w:horzAnchor="page" w:leftFromText="180" w:rightFromText="180" w:tblpX="0" w:tblpXSpec="center" w:tblpY="35" w:topFromText="0" w:vertAnchor="text"/>
        <w:tblW w:w="7560"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3073"/>
        <w:gridCol w:w="4486"/>
      </w:tblGrid>
      <w:tr>
        <w:trPr>
          <w:trHeight w:val="243" w:hRule="atLeast"/>
        </w:trPr>
        <w:tc>
          <w:tcPr>
            <w:tcW w:w="307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sz w:val="21"/>
                <w:szCs w:val="21"/>
                <w:lang w:eastAsia="en-US"/>
              </w:rPr>
            </w:pPr>
            <w:r>
              <w:rPr>
                <w:rFonts w:cs="Arial" w:ascii="Arial" w:hAnsi="Arial"/>
                <w:sz w:val="21"/>
                <w:szCs w:val="21"/>
                <w:lang w:eastAsia="en-US"/>
              </w:rPr>
              <w:t>Signature:</w:t>
            </w:r>
          </w:p>
        </w:tc>
        <w:tc>
          <w:tcPr>
            <w:tcW w:w="448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i/>
                <w:i/>
                <w:iCs/>
                <w:sz w:val="21"/>
                <w:szCs w:val="21"/>
                <w:lang w:eastAsia="en-US"/>
              </w:rPr>
            </w:pPr>
            <w:r>
              <w:rPr>
                <w:rFonts w:cs="Arial" w:ascii="Arial" w:hAnsi="Arial"/>
                <w:i/>
                <w:iCs/>
                <w:sz w:val="21"/>
                <w:szCs w:val="21"/>
                <w:lang w:eastAsia="en-US"/>
              </w:rPr>
              <w:t>[insert signature of authorised representative of the Tenderer]</w:t>
            </w:r>
          </w:p>
        </w:tc>
      </w:tr>
      <w:tr>
        <w:trPr>
          <w:trHeight w:val="243" w:hRule="atLeast"/>
        </w:trPr>
        <w:tc>
          <w:tcPr>
            <w:tcW w:w="307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sz w:val="21"/>
                <w:szCs w:val="21"/>
                <w:lang w:eastAsia="en-US"/>
              </w:rPr>
            </w:pPr>
            <w:r>
              <w:rPr>
                <w:rFonts w:cs="Arial" w:ascii="Arial" w:hAnsi="Arial"/>
                <w:sz w:val="21"/>
                <w:szCs w:val="21"/>
                <w:lang w:eastAsia="en-US"/>
              </w:rPr>
              <w:t>Name:</w:t>
            </w:r>
          </w:p>
        </w:tc>
        <w:tc>
          <w:tcPr>
            <w:tcW w:w="448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i/>
                <w:i/>
                <w:iCs/>
                <w:sz w:val="21"/>
                <w:szCs w:val="21"/>
                <w:lang w:eastAsia="en-US"/>
              </w:rPr>
            </w:pPr>
            <w:r>
              <w:rPr>
                <w:rFonts w:cs="Arial" w:ascii="Arial" w:hAnsi="Arial"/>
                <w:i/>
                <w:iCs/>
                <w:sz w:val="21"/>
                <w:szCs w:val="21"/>
                <w:lang w:eastAsia="en-US"/>
              </w:rPr>
              <w:t>[insert full name of signatory with National ID]</w:t>
            </w:r>
          </w:p>
        </w:tc>
      </w:tr>
      <w:tr>
        <w:trPr>
          <w:trHeight w:val="443" w:hRule="atLeast"/>
        </w:trPr>
        <w:tc>
          <w:tcPr>
            <w:tcW w:w="307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sz w:val="21"/>
                <w:szCs w:val="21"/>
                <w:lang w:eastAsia="en-US"/>
              </w:rPr>
            </w:pPr>
            <w:r>
              <w:rPr>
                <w:rFonts w:cs="Arial" w:ascii="Arial" w:hAnsi="Arial"/>
                <w:sz w:val="21"/>
                <w:szCs w:val="21"/>
                <w:lang w:eastAsia="en-US"/>
              </w:rPr>
              <w:t>In the capacity of:</w:t>
            </w:r>
          </w:p>
        </w:tc>
        <w:tc>
          <w:tcPr>
            <w:tcW w:w="448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i/>
                <w:i/>
                <w:iCs/>
                <w:sz w:val="21"/>
                <w:szCs w:val="21"/>
                <w:lang w:eastAsia="en-US"/>
              </w:rPr>
            </w:pPr>
            <w:r>
              <w:rPr>
                <w:rFonts w:cs="Arial" w:ascii="Arial" w:hAnsi="Arial"/>
                <w:i/>
                <w:iCs/>
                <w:sz w:val="21"/>
                <w:szCs w:val="21"/>
                <w:lang w:eastAsia="en-US"/>
              </w:rPr>
              <w:t>[insert designation of signatory]</w:t>
            </w:r>
          </w:p>
        </w:tc>
      </w:tr>
      <w:tr>
        <w:trPr/>
        <w:tc>
          <w:tcPr>
            <w:tcW w:w="755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sz w:val="21"/>
                <w:szCs w:val="21"/>
                <w:lang w:eastAsia="en-US"/>
              </w:rPr>
            </w:pPr>
            <w:r>
              <w:rPr>
                <w:rFonts w:cs="Arial" w:ascii="Arial" w:hAnsi="Arial"/>
                <w:sz w:val="21"/>
                <w:szCs w:val="21"/>
                <w:lang w:eastAsia="en-US"/>
              </w:rPr>
              <w:t>Duly authorised to sign the Tender for and on behalf of the Tenderer</w:t>
            </w:r>
          </w:p>
        </w:tc>
      </w:tr>
    </w:tbl>
    <w:p>
      <w:pPr>
        <w:sectPr>
          <w:footerReference w:type="default" r:id="rId7"/>
          <w:type w:val="nextPage"/>
          <w:pgSz w:orient="landscape" w:w="16838" w:h="11906"/>
          <w:pgMar w:left="1440" w:right="1440" w:gutter="0" w:header="0" w:top="1440" w:footer="720" w:bottom="1440"/>
          <w:pgNumType w:fmt="decimal"/>
          <w:formProt w:val="false"/>
          <w:textDirection w:val="lrTb"/>
          <w:docGrid w:type="default" w:linePitch="100" w:charSpace="0"/>
        </w:sectPr>
      </w:pPr>
    </w:p>
    <w:p>
      <w:pPr>
        <w:pStyle w:val="Normal"/>
        <w:suppressAutoHyphens w:val="true"/>
        <w:rPr>
          <w:rFonts w:ascii="Arial" w:hAnsi="Arial" w:cs="Arial"/>
          <w:sz w:val="18"/>
          <w:lang w:val="en-GB"/>
        </w:rPr>
      </w:pPr>
      <w:r>
        <w:rPr>
          <w:rFonts w:cs="Arial" w:ascii="Arial" w:hAnsi="Arial"/>
          <w:sz w:val="18"/>
          <w:lang w:val="en-GB"/>
        </w:rPr>
      </w:r>
    </w:p>
    <w:p>
      <w:pPr>
        <w:pStyle w:val="Heading2"/>
        <w:rPr>
          <w:rFonts w:ascii="Arial" w:hAnsi="Arial"/>
          <w:lang w:val="en-GB"/>
        </w:rPr>
      </w:pPr>
      <w:bookmarkStart w:id="795" w:name="_Toc354146671"/>
      <w:bookmarkStart w:id="796" w:name="_Toc49591783"/>
      <w:bookmarkStart w:id="797" w:name="_Toc421454330"/>
      <w:bookmarkStart w:id="798" w:name="_Toc49591435"/>
      <w:bookmarkStart w:id="799" w:name="_Toc49569873"/>
      <w:bookmarkStart w:id="800" w:name="_Toc4884603011"/>
      <w:bookmarkEnd w:id="795"/>
      <w:bookmarkEnd w:id="800"/>
      <w:r>
        <w:rPr>
          <w:rFonts w:ascii="Arial" w:hAnsi="Arial"/>
          <w:lang w:val="en-GB"/>
        </w:rPr>
        <w:t>Specifications Submission and Compliance</w:t>
      </w:r>
      <w:bookmarkEnd w:id="796"/>
      <w:bookmarkEnd w:id="798"/>
      <w:bookmarkEnd w:id="799"/>
      <w:r>
        <w:rPr>
          <w:rFonts w:ascii="Arial" w:hAnsi="Arial"/>
          <w:lang w:val="en-GB"/>
        </w:rPr>
        <w:t xml:space="preserve"> Sheet (Form PG3-5)</w:t>
      </w:r>
      <w:bookmarkEnd w:id="797"/>
    </w:p>
    <w:p>
      <w:pPr>
        <w:pStyle w:val="Normal"/>
        <w:suppressAutoHyphens w:val="true"/>
        <w:rPr>
          <w:rFonts w:ascii="Arial" w:hAnsi="Arial" w:cs="Arial"/>
          <w:sz w:val="22"/>
          <w:szCs w:val="22"/>
          <w:lang w:val="en-GB"/>
        </w:rPr>
      </w:pPr>
      <w:r>
        <w:rPr>
          <w:rFonts w:cs="Arial" w:ascii="Arial" w:hAnsi="Arial"/>
          <w:sz w:val="22"/>
          <w:szCs w:val="22"/>
          <w:lang w:val="en-GB"/>
        </w:rPr>
      </w:r>
    </w:p>
    <w:tbl>
      <w:tblPr>
        <w:tblW w:w="9468" w:type="dxa"/>
        <w:jc w:val="left"/>
        <w:tblInd w:w="0" w:type="dxa"/>
        <w:tblLayout w:type="fixed"/>
        <w:tblCellMar>
          <w:top w:w="0" w:type="dxa"/>
          <w:left w:w="108" w:type="dxa"/>
          <w:bottom w:w="0" w:type="dxa"/>
          <w:right w:w="108" w:type="dxa"/>
        </w:tblCellMar>
        <w:tblLook w:val="01e0" w:noHBand="0" w:noVBand="0" w:firstColumn="1" w:lastRow="1" w:lastColumn="1" w:firstRow="1"/>
      </w:tblPr>
      <w:tblGrid>
        <w:gridCol w:w="1458"/>
        <w:gridCol w:w="2520"/>
        <w:gridCol w:w="1349"/>
        <w:gridCol w:w="4140"/>
      </w:tblGrid>
      <w:tr>
        <w:trPr/>
        <w:tc>
          <w:tcPr>
            <w:tcW w:w="1458" w:type="dxa"/>
            <w:tcBorders/>
          </w:tcPr>
          <w:p>
            <w:pPr>
              <w:pStyle w:val="Normal"/>
              <w:widowControl w:val="false"/>
              <w:rPr>
                <w:rFonts w:ascii="Arial" w:hAnsi="Arial" w:cs="Arial"/>
                <w:spacing w:val="-4"/>
                <w:sz w:val="22"/>
                <w:szCs w:val="22"/>
                <w:lang w:val="en-GB"/>
              </w:rPr>
            </w:pPr>
            <w:r>
              <w:rPr>
                <w:rFonts w:cs="Arial" w:ascii="Arial" w:hAnsi="Arial"/>
                <w:spacing w:val="-4"/>
                <w:sz w:val="22"/>
                <w:szCs w:val="22"/>
                <w:lang w:val="en-GB"/>
              </w:rPr>
              <w:t>Invitation for Tender No:</w:t>
            </w:r>
          </w:p>
        </w:tc>
        <w:tc>
          <w:tcPr>
            <w:tcW w:w="2520" w:type="dxa"/>
            <w:tcBorders/>
          </w:tcPr>
          <w:p>
            <w:pPr>
              <w:pStyle w:val="Normal"/>
              <w:widowControl w:val="false"/>
              <w:ind w:left="-107" w:hanging="0"/>
              <w:rPr>
                <w:rFonts w:ascii="Arial" w:hAnsi="Arial" w:cs="Arial"/>
                <w:sz w:val="22"/>
                <w:szCs w:val="22"/>
                <w:lang w:val="en-GB"/>
              </w:rPr>
            </w:pPr>
            <w:r>
              <w:rPr>
                <w:rFonts w:eastAsia="Times New Roman" w:cs="Arial" w:ascii="Arial" w:hAnsi="Arial"/>
                <w:b/>
                <w:spacing w:val="-6"/>
                <w:w w:val="90"/>
                <w:sz w:val="22"/>
                <w:lang w:val="en-GB"/>
              </w:rPr>
              <w:t>DU/CAO/OTM/2023/147/001</w:t>
            </w:r>
          </w:p>
        </w:tc>
        <w:tc>
          <w:tcPr>
            <w:tcW w:w="1349" w:type="dxa"/>
            <w:tcBorders/>
          </w:tcPr>
          <w:p>
            <w:pPr>
              <w:pStyle w:val="Normal"/>
              <w:widowControl w:val="false"/>
              <w:rPr>
                <w:rFonts w:ascii="Arial" w:hAnsi="Arial" w:cs="Arial"/>
                <w:sz w:val="22"/>
                <w:szCs w:val="22"/>
                <w:lang w:val="en-GB"/>
              </w:rPr>
            </w:pPr>
            <w:r>
              <w:rPr>
                <w:rFonts w:cs="Arial" w:ascii="Arial" w:hAnsi="Arial"/>
                <w:sz w:val="22"/>
                <w:szCs w:val="22"/>
                <w:lang w:val="en-GB"/>
              </w:rPr>
              <w:t>Date:</w:t>
            </w:r>
          </w:p>
        </w:tc>
        <w:tc>
          <w:tcPr>
            <w:tcW w:w="4140" w:type="dxa"/>
            <w:tcBorders/>
          </w:tcPr>
          <w:p>
            <w:pPr>
              <w:pStyle w:val="Normal"/>
              <w:widowControl w:val="false"/>
              <w:ind w:left="-107" w:hanging="0"/>
              <w:rPr>
                <w:rFonts w:ascii="Arial" w:hAnsi="Arial" w:cs="Arial"/>
                <w:sz w:val="22"/>
                <w:szCs w:val="22"/>
                <w:lang w:val="en-GB"/>
              </w:rPr>
            </w:pPr>
            <w:r>
              <w:rPr>
                <w:rFonts w:eastAsia="Times New Roman" w:cs="Arial" w:ascii="Arial" w:hAnsi="Arial"/>
                <w:b/>
                <w:spacing w:val="-6"/>
                <w:w w:val="90"/>
                <w:sz w:val="22"/>
                <w:lang w:val="en-GB"/>
              </w:rPr>
              <w:t>15.02.2023</w:t>
            </w:r>
          </w:p>
        </w:tc>
      </w:tr>
      <w:tr>
        <w:trPr/>
        <w:tc>
          <w:tcPr>
            <w:tcW w:w="1458" w:type="dxa"/>
            <w:tcBorders/>
          </w:tcPr>
          <w:p>
            <w:pPr>
              <w:pStyle w:val="Normal"/>
              <w:widowControl w:val="false"/>
              <w:rPr>
                <w:rFonts w:ascii="Arial" w:hAnsi="Arial" w:cs="Arial"/>
                <w:spacing w:val="-6"/>
                <w:sz w:val="22"/>
                <w:szCs w:val="22"/>
                <w:lang w:val="en-GB"/>
              </w:rPr>
            </w:pPr>
            <w:r>
              <w:rPr>
                <w:rFonts w:cs="Arial" w:ascii="Arial" w:hAnsi="Arial"/>
                <w:spacing w:val="-6"/>
                <w:sz w:val="22"/>
                <w:szCs w:val="22"/>
                <w:lang w:val="en-GB"/>
              </w:rPr>
              <w:t>Tender Package No:</w:t>
            </w:r>
          </w:p>
        </w:tc>
        <w:tc>
          <w:tcPr>
            <w:tcW w:w="2520" w:type="dxa"/>
            <w:tcBorders/>
          </w:tcPr>
          <w:p>
            <w:pPr>
              <w:pStyle w:val="Normal"/>
              <w:widowControl w:val="false"/>
              <w:ind w:left="-107" w:hanging="0"/>
              <w:rPr>
                <w:rFonts w:ascii="Arial" w:hAnsi="Arial" w:cs="Arial"/>
                <w:sz w:val="22"/>
                <w:szCs w:val="22"/>
                <w:lang w:val="en-GB"/>
              </w:rPr>
            </w:pPr>
            <w:r>
              <w:rPr>
                <w:rFonts w:cs="Arial" w:ascii="Arial" w:hAnsi="Arial"/>
                <w:sz w:val="22"/>
                <w:szCs w:val="22"/>
                <w:lang w:val="en-GB"/>
              </w:rPr>
              <w:t>G/CAO/2023/01</w:t>
            </w:r>
          </w:p>
        </w:tc>
        <w:tc>
          <w:tcPr>
            <w:tcW w:w="1349" w:type="dxa"/>
            <w:tcBorders/>
          </w:tcPr>
          <w:p>
            <w:pPr>
              <w:pStyle w:val="Normal"/>
              <w:widowControl w:val="false"/>
              <w:rPr>
                <w:rFonts w:ascii="Arial" w:hAnsi="Arial" w:cs="Arial"/>
                <w:spacing w:val="-4"/>
                <w:sz w:val="22"/>
                <w:szCs w:val="22"/>
                <w:lang w:val="en-GB"/>
              </w:rPr>
            </w:pPr>
            <w:r>
              <w:rPr>
                <w:rFonts w:cs="Arial" w:ascii="Arial" w:hAnsi="Arial"/>
                <w:spacing w:val="-4"/>
                <w:sz w:val="22"/>
                <w:szCs w:val="22"/>
                <w:lang w:val="en-GB"/>
              </w:rPr>
              <w:t>Package Description:</w:t>
            </w:r>
          </w:p>
        </w:tc>
        <w:tc>
          <w:tcPr>
            <w:tcW w:w="4140" w:type="dxa"/>
            <w:tcBorders/>
          </w:tcPr>
          <w:p>
            <w:pPr>
              <w:pStyle w:val="Normal"/>
              <w:widowControl w:val="false"/>
              <w:jc w:val="left"/>
              <w:rPr>
                <w:rFonts w:ascii="Arial" w:hAnsi="Arial" w:cs="Arial"/>
                <w:b w:val="false"/>
                <w:b w:val="false"/>
                <w:bCs w:val="false"/>
                <w:color w:val="000000"/>
                <w:sz w:val="22"/>
                <w:szCs w:val="32"/>
                <w:lang w:val="en-GB"/>
              </w:rPr>
            </w:pPr>
            <w:r>
              <w:rPr>
                <w:rFonts w:cs="Arial" w:ascii="Arial" w:hAnsi="Arial"/>
                <w:b w:val="false"/>
                <w:bCs w:val="false"/>
                <w:color w:val="000000"/>
                <w:sz w:val="22"/>
                <w:szCs w:val="22"/>
                <w:lang w:val="en-GB"/>
              </w:rPr>
              <w:t>Procurement of PVC/PET ID card printer with laminator &amp; Encoder with consumables</w:t>
            </w:r>
          </w:p>
        </w:tc>
      </w:tr>
      <w:tr>
        <w:trPr/>
        <w:tc>
          <w:tcPr>
            <w:tcW w:w="1458" w:type="dxa"/>
            <w:tcBorders/>
          </w:tcPr>
          <w:p>
            <w:pPr>
              <w:pStyle w:val="Normal"/>
              <w:widowControl w:val="false"/>
              <w:rPr>
                <w:rFonts w:ascii="Arial" w:hAnsi="Arial" w:cs="Arial"/>
                <w:sz w:val="22"/>
                <w:szCs w:val="22"/>
                <w:lang w:val="en-GB"/>
              </w:rPr>
            </w:pPr>
            <w:r>
              <w:rPr>
                <w:rFonts w:cs="Arial" w:ascii="Arial" w:hAnsi="Arial"/>
                <w:sz w:val="22"/>
                <w:szCs w:val="22"/>
                <w:lang w:val="en-GB"/>
              </w:rPr>
              <w:t>Tender Lot No:</w:t>
            </w:r>
          </w:p>
        </w:tc>
        <w:tc>
          <w:tcPr>
            <w:tcW w:w="2520" w:type="dxa"/>
            <w:tcBorders/>
          </w:tcPr>
          <w:p>
            <w:pPr>
              <w:pStyle w:val="Normal"/>
              <w:widowControl w:val="false"/>
              <w:rPr>
                <w:rFonts w:ascii="Arial" w:hAnsi="Arial" w:cs="Arial"/>
                <w:sz w:val="22"/>
                <w:szCs w:val="22"/>
                <w:lang w:val="en-GB"/>
              </w:rPr>
            </w:pPr>
            <w:r>
              <w:rPr>
                <w:rFonts w:cs="Arial" w:ascii="Arial" w:hAnsi="Arial"/>
                <w:sz w:val="22"/>
                <w:szCs w:val="22"/>
                <w:lang w:val="en-GB"/>
              </w:rPr>
              <w:t>1, 2</w:t>
            </w:r>
          </w:p>
        </w:tc>
        <w:tc>
          <w:tcPr>
            <w:tcW w:w="1349" w:type="dxa"/>
            <w:tcBorders/>
          </w:tcPr>
          <w:p>
            <w:pPr>
              <w:pStyle w:val="Normal"/>
              <w:widowControl w:val="false"/>
              <w:rPr>
                <w:rFonts w:ascii="Arial" w:hAnsi="Arial" w:cs="Arial"/>
                <w:spacing w:val="-4"/>
                <w:sz w:val="22"/>
                <w:szCs w:val="22"/>
                <w:lang w:val="en-GB"/>
              </w:rPr>
            </w:pPr>
            <w:r>
              <w:rPr>
                <w:rFonts w:cs="Arial" w:ascii="Arial" w:hAnsi="Arial"/>
                <w:spacing w:val="-4"/>
                <w:sz w:val="22"/>
                <w:szCs w:val="22"/>
                <w:lang w:val="en-GB"/>
              </w:rPr>
              <w:t>Lot Description:</w:t>
            </w:r>
          </w:p>
        </w:tc>
        <w:tc>
          <w:tcPr>
            <w:tcW w:w="4140" w:type="dxa"/>
            <w:tcBorders/>
          </w:tcPr>
          <w:p>
            <w:pPr>
              <w:pStyle w:val="Title"/>
              <w:widowControl w:val="false"/>
              <w:ind w:left="612" w:hanging="612"/>
              <w:jc w:val="left"/>
              <w:rPr>
                <w:rFonts w:ascii="Arial" w:hAnsi="Arial" w:cs="Arial"/>
                <w:b w:val="false"/>
                <w:b w:val="false"/>
                <w:sz w:val="20"/>
                <w:szCs w:val="32"/>
                <w:lang w:val="en-GB"/>
              </w:rPr>
            </w:pPr>
            <w:r>
              <w:rPr>
                <w:rFonts w:cs="Arial" w:ascii="Arial" w:hAnsi="Arial"/>
                <w:b w:val="false"/>
                <w:sz w:val="20"/>
                <w:szCs w:val="22"/>
                <w:lang w:val="en-GB"/>
              </w:rPr>
              <w:t xml:space="preserve">Lot 1 - </w:t>
            </w:r>
            <w:r>
              <w:rPr>
                <w:rFonts w:cs="Arial" w:ascii="Arial" w:hAnsi="Arial"/>
                <w:b w:val="false"/>
                <w:sz w:val="20"/>
                <w:szCs w:val="32"/>
                <w:lang w:val="en-GB"/>
              </w:rPr>
              <w:t>PVC/PET ID card printer with laminator &amp; Encoder, Registered lamination film (Hologram Patch Roll), Color Ribbon, Cleaning Kit</w:t>
            </w:r>
          </w:p>
          <w:p>
            <w:pPr>
              <w:pStyle w:val="Normal"/>
              <w:widowControl w:val="false"/>
              <w:rPr>
                <w:rFonts w:ascii="Arial" w:hAnsi="Arial" w:cs="Arial"/>
                <w:i/>
                <w:i/>
                <w:sz w:val="22"/>
                <w:szCs w:val="22"/>
                <w:lang w:val="en-GB"/>
              </w:rPr>
            </w:pPr>
            <w:r>
              <w:rPr>
                <w:rFonts w:cs="Arial" w:ascii="Arial" w:hAnsi="Arial"/>
                <w:sz w:val="20"/>
                <w:szCs w:val="32"/>
                <w:lang w:val="en-GB"/>
              </w:rPr>
              <w:t>Lot 2 - Contactless NFC PVC Card (8K)</w:t>
            </w:r>
          </w:p>
        </w:tc>
      </w:tr>
    </w:tbl>
    <w:p>
      <w:pPr>
        <w:pStyle w:val="Normal"/>
        <w:rPr>
          <w:rFonts w:ascii="Arial" w:hAnsi="Arial" w:cs="Arial"/>
          <w:sz w:val="22"/>
          <w:szCs w:val="22"/>
          <w:lang w:val="en-GB"/>
        </w:rPr>
      </w:pPr>
      <w:r>
        <w:rPr>
          <w:rFonts w:cs="Arial" w:ascii="Arial" w:hAnsi="Arial"/>
          <w:sz w:val="22"/>
          <w:szCs w:val="22"/>
          <w:lang w:val="en-GB"/>
        </w:rPr>
      </w:r>
    </w:p>
    <w:tbl>
      <w:tblPr>
        <w:tblW w:w="8910"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719"/>
        <w:gridCol w:w="2521"/>
        <w:gridCol w:w="990"/>
        <w:gridCol w:w="1260"/>
        <w:gridCol w:w="3420"/>
      </w:tblGrid>
      <w:tr>
        <w:trPr>
          <w:trHeight w:val="61" w:hRule="atLeast"/>
          <w:cantSplit w:val="true"/>
        </w:trPr>
        <w:tc>
          <w:tcPr>
            <w:tcW w:w="71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sz w:val="22"/>
                <w:szCs w:val="22"/>
                <w:lang w:val="en-GB"/>
              </w:rPr>
            </w:pPr>
            <w:r>
              <w:rPr>
                <w:rFonts w:cs="Arial" w:ascii="Arial" w:hAnsi="Arial"/>
                <w:sz w:val="22"/>
                <w:szCs w:val="22"/>
                <w:lang w:val="en-GB"/>
              </w:rPr>
              <w:t>ItemNo.</w:t>
            </w:r>
          </w:p>
        </w:tc>
        <w:tc>
          <w:tcPr>
            <w:tcW w:w="252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sz w:val="22"/>
                <w:szCs w:val="22"/>
                <w:lang w:val="en-GB"/>
              </w:rPr>
            </w:pPr>
            <w:r>
              <w:rPr>
                <w:rFonts w:cs="Arial" w:ascii="Arial" w:hAnsi="Arial"/>
                <w:sz w:val="22"/>
                <w:szCs w:val="22"/>
                <w:lang w:val="en-GB"/>
              </w:rPr>
              <w:t>Name of Goods</w:t>
            </w:r>
          </w:p>
          <w:p>
            <w:pPr>
              <w:pStyle w:val="Normal"/>
              <w:widowControl w:val="false"/>
              <w:jc w:val="center"/>
              <w:rPr>
                <w:sz w:val="22"/>
                <w:szCs w:val="22"/>
                <w:lang w:val="en-GB"/>
              </w:rPr>
            </w:pPr>
            <w:r>
              <w:rPr>
                <w:rFonts w:cs="Arial" w:ascii="Arial" w:hAnsi="Arial"/>
                <w:sz w:val="22"/>
                <w:szCs w:val="22"/>
                <w:lang w:val="en-GB"/>
              </w:rPr>
              <w:t>or Related Service</w:t>
            </w:r>
          </w:p>
        </w:tc>
        <w:tc>
          <w:tcPr>
            <w:tcW w:w="99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Arial" w:hAnsi="Arial" w:cs="Arial"/>
                <w:sz w:val="22"/>
                <w:szCs w:val="22"/>
                <w:lang w:val="en-GB"/>
              </w:rPr>
            </w:pPr>
            <w:r>
              <w:rPr>
                <w:rFonts w:cs="Arial" w:ascii="Arial" w:hAnsi="Arial"/>
                <w:sz w:val="22"/>
                <w:szCs w:val="22"/>
                <w:lang w:val="en-GB"/>
              </w:rPr>
              <w:t>Country of Origin</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sz w:val="22"/>
                <w:szCs w:val="22"/>
                <w:lang w:val="en-GB"/>
              </w:rPr>
            </w:pPr>
            <w:r>
              <w:rPr>
                <w:rFonts w:cs="Arial" w:ascii="Arial" w:hAnsi="Arial"/>
                <w:sz w:val="22"/>
                <w:szCs w:val="22"/>
                <w:lang w:val="en-GB"/>
              </w:rPr>
              <w:t>Make and Model (</w:t>
            </w:r>
            <w:r>
              <w:rPr>
                <w:rFonts w:cs="Arial" w:ascii="Arial" w:hAnsi="Arial"/>
                <w:i/>
                <w:iCs/>
                <w:sz w:val="22"/>
                <w:szCs w:val="22"/>
                <w:lang w:val="en-GB"/>
              </w:rPr>
              <w:t>when applicable)</w:t>
            </w:r>
          </w:p>
        </w:tc>
        <w:tc>
          <w:tcPr>
            <w:tcW w:w="342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sz w:val="22"/>
                <w:szCs w:val="22"/>
                <w:lang w:val="en-GB"/>
              </w:rPr>
            </w:pPr>
            <w:r>
              <w:rPr>
                <w:rFonts w:cs="Arial" w:ascii="Arial" w:hAnsi="Arial"/>
                <w:sz w:val="22"/>
                <w:szCs w:val="22"/>
                <w:lang w:val="en-GB"/>
              </w:rPr>
              <w:t>Full Technical Specifications and Standards</w:t>
            </w:r>
          </w:p>
        </w:tc>
      </w:tr>
      <w:tr>
        <w:trPr>
          <w:trHeight w:val="52" w:hRule="atLeast"/>
          <w:cantSplit w:val="true"/>
        </w:trPr>
        <w:tc>
          <w:tcPr>
            <w:tcW w:w="7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rFonts w:ascii="Arial" w:hAnsi="Arial" w:cs="Arial"/>
                <w:b/>
                <w:b/>
                <w:bCs/>
                <w:sz w:val="20"/>
                <w:szCs w:val="20"/>
                <w:lang w:val="en-GB"/>
              </w:rPr>
            </w:pPr>
            <w:r>
              <w:rPr>
                <w:rFonts w:cs="Arial" w:ascii="Arial" w:hAnsi="Arial"/>
                <w:b/>
                <w:bCs/>
                <w:sz w:val="20"/>
                <w:szCs w:val="20"/>
                <w:lang w:val="en-GB"/>
              </w:rPr>
              <w:t>1</w:t>
            </w:r>
          </w:p>
        </w:tc>
        <w:tc>
          <w:tcPr>
            <w:tcW w:w="252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rFonts w:ascii="Arial" w:hAnsi="Arial" w:cs="Arial"/>
                <w:b/>
                <w:b/>
                <w:sz w:val="20"/>
                <w:szCs w:val="20"/>
                <w:lang w:val="en-GB"/>
              </w:rPr>
            </w:pPr>
            <w:r>
              <w:rPr>
                <w:rFonts w:cs="Arial" w:ascii="Arial" w:hAnsi="Arial"/>
                <w:b/>
                <w:sz w:val="20"/>
                <w:szCs w:val="20"/>
                <w:lang w:val="en-GB"/>
              </w:rPr>
              <w:t>2</w:t>
            </w:r>
          </w:p>
        </w:tc>
        <w:tc>
          <w:tcPr>
            <w:tcW w:w="99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rFonts w:ascii="Arial" w:hAnsi="Arial" w:cs="Arial"/>
                <w:b/>
                <w:b/>
                <w:bCs/>
                <w:sz w:val="20"/>
                <w:szCs w:val="20"/>
                <w:lang w:val="en-GB"/>
              </w:rPr>
            </w:pPr>
            <w:r>
              <w:rPr>
                <w:rFonts w:cs="Arial" w:ascii="Arial" w:hAnsi="Arial"/>
                <w:b/>
                <w:bCs/>
                <w:sz w:val="20"/>
                <w:szCs w:val="20"/>
                <w:lang w:val="en-GB"/>
              </w:rPr>
              <w:t>3</w:t>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rFonts w:ascii="Arial" w:hAnsi="Arial" w:cs="Arial"/>
                <w:b/>
                <w:b/>
                <w:bCs/>
                <w:sz w:val="20"/>
                <w:szCs w:val="20"/>
                <w:lang w:val="en-GB"/>
              </w:rPr>
            </w:pPr>
            <w:r>
              <w:rPr>
                <w:rFonts w:cs="Arial" w:ascii="Arial" w:hAnsi="Arial"/>
                <w:b/>
                <w:bCs/>
                <w:sz w:val="20"/>
                <w:szCs w:val="20"/>
                <w:lang w:val="en-GB"/>
              </w:rPr>
              <w:t>4</w:t>
            </w:r>
          </w:p>
        </w:tc>
        <w:tc>
          <w:tcPr>
            <w:tcW w:w="34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center"/>
              <w:rPr>
                <w:rFonts w:ascii="Arial" w:hAnsi="Arial" w:cs="Arial"/>
                <w:b/>
                <w:b/>
                <w:bCs/>
                <w:sz w:val="20"/>
                <w:szCs w:val="20"/>
                <w:lang w:val="en-GB"/>
              </w:rPr>
            </w:pPr>
            <w:r>
              <w:rPr>
                <w:rFonts w:cs="Arial" w:ascii="Arial" w:hAnsi="Arial"/>
                <w:b/>
                <w:bCs/>
                <w:sz w:val="20"/>
                <w:szCs w:val="20"/>
                <w:lang w:val="en-GB"/>
              </w:rPr>
              <w:t>5</w:t>
            </w:r>
          </w:p>
        </w:tc>
      </w:tr>
      <w:tr>
        <w:trPr>
          <w:trHeight w:val="52" w:hRule="atLeast"/>
          <w:cantSplit w:val="true"/>
        </w:trPr>
        <w:tc>
          <w:tcPr>
            <w:tcW w:w="891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both"/>
              <w:rPr>
                <w:rFonts w:ascii="Arial" w:hAnsi="Arial" w:cs="Arial"/>
                <w:b/>
                <w:b/>
                <w:bCs/>
                <w:sz w:val="20"/>
                <w:szCs w:val="20"/>
                <w:lang w:val="en-GB"/>
              </w:rPr>
            </w:pPr>
            <w:r>
              <w:rPr>
                <w:rFonts w:cs="Arial" w:ascii="Arial" w:hAnsi="Arial"/>
                <w:b/>
                <w:sz w:val="20"/>
                <w:szCs w:val="22"/>
                <w:lang w:val="en-GB"/>
              </w:rPr>
              <w:t xml:space="preserve">Lot-1: </w:t>
            </w:r>
            <w:r>
              <w:rPr>
                <w:rFonts w:cs="Arial" w:ascii="Arial" w:hAnsi="Arial"/>
                <w:b/>
                <w:sz w:val="20"/>
                <w:szCs w:val="32"/>
                <w:lang w:val="en-GB"/>
              </w:rPr>
              <w:t>PVC/PET ID card printer with laminator &amp; Encoder, Registered lamination film (Hologram Patch Roll),</w:t>
            </w:r>
            <w:r>
              <w:rPr>
                <w:b/>
                <w:sz w:val="22"/>
                <w:szCs w:val="32"/>
                <w:lang w:val="en-GB"/>
              </w:rPr>
              <w:t xml:space="preserve"> Color Ribbon, Cleaning Kit</w:t>
            </w:r>
          </w:p>
        </w:tc>
      </w:tr>
      <w:tr>
        <w:trPr>
          <w:trHeight w:val="52" w:hRule="atLeast"/>
          <w:cantSplit w:val="true"/>
        </w:trPr>
        <w:tc>
          <w:tcPr>
            <w:tcW w:w="71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rPr>
                <w:rFonts w:ascii="Liberation Serif" w:hAnsi="Liberation Serif" w:cs="Arial"/>
                <w:sz w:val="22"/>
                <w:szCs w:val="22"/>
                <w:lang w:val="en-GB"/>
              </w:rPr>
            </w:pPr>
            <w:r>
              <w:rPr>
                <w:rFonts w:cs="Arial" w:ascii="Liberation Serif" w:hAnsi="Liberation Serif"/>
                <w:sz w:val="22"/>
                <w:szCs w:val="22"/>
                <w:lang w:val="en-GB"/>
              </w:rPr>
            </w:r>
          </w:p>
          <w:p>
            <w:pPr>
              <w:pStyle w:val="Normal"/>
              <w:widowControl w:val="false"/>
              <w:suppressAutoHyphens w:val="true"/>
              <w:snapToGrid w:val="false"/>
              <w:jc w:val="center"/>
              <w:rPr>
                <w:rFonts w:ascii="Liberation Serif" w:hAnsi="Liberation Serif" w:cs="Arial"/>
                <w:sz w:val="22"/>
                <w:szCs w:val="22"/>
                <w:lang w:val="en-GB"/>
              </w:rPr>
            </w:pPr>
            <w:r>
              <w:rPr>
                <w:rFonts w:cs="Arial" w:ascii="Liberation Serif" w:hAnsi="Liberation Serif"/>
                <w:sz w:val="22"/>
                <w:szCs w:val="22"/>
                <w:lang w:val="en-GB"/>
              </w:rPr>
              <w:t>01</w:t>
            </w:r>
          </w:p>
        </w:tc>
        <w:tc>
          <w:tcPr>
            <w:tcW w:w="252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rPr>
                <w:rFonts w:ascii="Liberation Serif" w:hAnsi="Liberation Serif" w:cs="Arial"/>
                <w:b w:val="false"/>
                <w:b w:val="false"/>
                <w:bCs w:val="false"/>
                <w:sz w:val="22"/>
                <w:szCs w:val="22"/>
                <w:lang w:val="en-GB"/>
              </w:rPr>
            </w:pPr>
            <w:r>
              <w:rPr>
                <w:rFonts w:cs="Arial" w:ascii="Liberation Serif" w:hAnsi="Liberation Serif"/>
                <w:b w:val="false"/>
                <w:bCs w:val="false"/>
                <w:sz w:val="22"/>
                <w:szCs w:val="22"/>
                <w:lang w:val="en-GB"/>
              </w:rPr>
              <w:t>PVC/PET ID card printer with laminator &amp; Encoder</w:t>
            </w:r>
          </w:p>
        </w:tc>
        <w:tc>
          <w:tcPr>
            <w:tcW w:w="99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jc w:val="center"/>
              <w:rPr>
                <w:rFonts w:ascii="Liberation Serif" w:hAnsi="Liberation Serif" w:cs="Arial"/>
                <w:bCs/>
                <w:sz w:val="22"/>
                <w:szCs w:val="22"/>
                <w:lang w:val="en-GB"/>
              </w:rPr>
            </w:pPr>
            <w:r>
              <w:rPr>
                <w:rFonts w:cs="Arial" w:ascii="Liberation Serif" w:hAnsi="Liberation Serif"/>
                <w:bCs/>
                <w:sz w:val="22"/>
                <w:szCs w:val="22"/>
                <w:lang w:val="en-GB"/>
              </w:rPr>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jc w:val="center"/>
              <w:rPr>
                <w:rFonts w:ascii="Liberation Serif" w:hAnsi="Liberation Serif" w:cs="Arial"/>
                <w:bCs/>
                <w:sz w:val="22"/>
                <w:szCs w:val="22"/>
                <w:lang w:val="en-GB"/>
              </w:rPr>
            </w:pPr>
            <w:r>
              <w:rPr>
                <w:rFonts w:cs="Arial" w:ascii="Liberation Serif" w:hAnsi="Liberation Serif"/>
                <w:bCs/>
                <w:sz w:val="22"/>
                <w:szCs w:val="22"/>
                <w:lang w:val="en-GB"/>
              </w:rPr>
            </w:r>
          </w:p>
        </w:tc>
        <w:tc>
          <w:tcPr>
            <w:tcW w:w="34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jc w:val="center"/>
              <w:rPr>
                <w:rFonts w:ascii="Liberation Serif" w:hAnsi="Liberation Serif" w:cs="Arial"/>
                <w:bCs/>
                <w:sz w:val="22"/>
                <w:szCs w:val="22"/>
                <w:lang w:val="en-GB"/>
              </w:rPr>
            </w:pPr>
            <w:r>
              <w:rPr>
                <w:rFonts w:cs="Arial" w:ascii="Liberation Serif" w:hAnsi="Liberation Serif"/>
                <w:bCs/>
                <w:sz w:val="22"/>
                <w:szCs w:val="22"/>
                <w:lang w:val="en-GB"/>
              </w:rPr>
              <w:t>Specification mentioned in page 75</w:t>
            </w:r>
          </w:p>
        </w:tc>
      </w:tr>
      <w:tr>
        <w:trPr>
          <w:trHeight w:val="52" w:hRule="atLeast"/>
          <w:cantSplit w:val="true"/>
        </w:trPr>
        <w:tc>
          <w:tcPr>
            <w:tcW w:w="71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rPr>
                <w:rFonts w:ascii="Liberation Serif" w:hAnsi="Liberation Serif" w:cs="Arial"/>
                <w:sz w:val="22"/>
                <w:szCs w:val="22"/>
                <w:lang w:val="en-GB"/>
              </w:rPr>
            </w:pPr>
            <w:r>
              <w:rPr>
                <w:rFonts w:cs="Arial" w:ascii="Liberation Serif" w:hAnsi="Liberation Serif"/>
                <w:sz w:val="22"/>
                <w:szCs w:val="22"/>
                <w:lang w:val="en-GB"/>
              </w:rPr>
            </w:r>
          </w:p>
          <w:p>
            <w:pPr>
              <w:pStyle w:val="Normal"/>
              <w:widowControl w:val="false"/>
              <w:suppressAutoHyphens w:val="true"/>
              <w:snapToGrid w:val="false"/>
              <w:jc w:val="center"/>
              <w:rPr>
                <w:rFonts w:ascii="Liberation Serif" w:hAnsi="Liberation Serif" w:cs="Arial"/>
                <w:sz w:val="22"/>
                <w:szCs w:val="22"/>
                <w:lang w:val="en-GB"/>
              </w:rPr>
            </w:pPr>
            <w:r>
              <w:rPr>
                <w:rFonts w:cs="Arial" w:ascii="Liberation Serif" w:hAnsi="Liberation Serif"/>
                <w:sz w:val="22"/>
                <w:szCs w:val="22"/>
                <w:lang w:val="en-GB"/>
              </w:rPr>
              <w:t>02</w:t>
            </w:r>
          </w:p>
        </w:tc>
        <w:tc>
          <w:tcPr>
            <w:tcW w:w="252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rPr>
                <w:rFonts w:ascii="Liberation Serif" w:hAnsi="Liberation Serif"/>
                <w:b w:val="false"/>
                <w:b w:val="false"/>
                <w:bCs w:val="false"/>
                <w:spacing w:val="-4"/>
                <w:sz w:val="22"/>
                <w:szCs w:val="22"/>
              </w:rPr>
            </w:pPr>
            <w:r>
              <w:rPr>
                <w:rFonts w:ascii="Liberation Serif" w:hAnsi="Liberation Serif"/>
                <w:b w:val="false"/>
                <w:bCs w:val="false"/>
                <w:spacing w:val="-4"/>
                <w:sz w:val="22"/>
                <w:szCs w:val="22"/>
                <w:lang w:bidi="he-IL"/>
              </w:rPr>
              <w:t>Registered Lamination Film of DU</w:t>
            </w:r>
          </w:p>
        </w:tc>
        <w:tc>
          <w:tcPr>
            <w:tcW w:w="99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rPr>
                <w:rFonts w:ascii="Liberation Serif" w:hAnsi="Liberation Serif" w:cs="Arial"/>
                <w:bCs/>
                <w:sz w:val="22"/>
                <w:szCs w:val="22"/>
                <w:lang w:val="en-GB"/>
              </w:rPr>
            </w:pPr>
            <w:r>
              <w:rPr>
                <w:rFonts w:cs="Arial" w:ascii="Liberation Serif" w:hAnsi="Liberation Serif"/>
                <w:bCs/>
                <w:sz w:val="22"/>
                <w:szCs w:val="22"/>
                <w:lang w:val="en-GB"/>
              </w:rPr>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rPr>
                <w:rFonts w:ascii="Liberation Serif" w:hAnsi="Liberation Serif" w:cs="Arial"/>
                <w:bCs/>
                <w:sz w:val="22"/>
                <w:szCs w:val="22"/>
                <w:lang w:val="en-GB"/>
              </w:rPr>
            </w:pPr>
            <w:r>
              <w:rPr>
                <w:rFonts w:cs="Arial" w:ascii="Liberation Serif" w:hAnsi="Liberation Serif"/>
                <w:bCs/>
                <w:sz w:val="22"/>
                <w:szCs w:val="22"/>
                <w:lang w:val="en-GB"/>
              </w:rPr>
            </w:r>
          </w:p>
        </w:tc>
        <w:tc>
          <w:tcPr>
            <w:tcW w:w="34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jc w:val="center"/>
              <w:rPr>
                <w:rFonts w:ascii="Liberation Serif" w:hAnsi="Liberation Serif" w:cs="Arial"/>
                <w:bCs/>
                <w:sz w:val="22"/>
                <w:szCs w:val="22"/>
                <w:lang w:val="en-GB"/>
              </w:rPr>
            </w:pPr>
            <w:r>
              <w:rPr>
                <w:rFonts w:cs="Arial" w:ascii="Liberation Serif" w:hAnsi="Liberation Serif"/>
                <w:bCs/>
                <w:sz w:val="22"/>
                <w:szCs w:val="22"/>
                <w:lang w:val="en-GB"/>
              </w:rPr>
              <w:t>Specification mentioned in page 76</w:t>
            </w:r>
          </w:p>
        </w:tc>
      </w:tr>
      <w:tr>
        <w:trPr>
          <w:trHeight w:val="52" w:hRule="atLeast"/>
          <w:cantSplit w:val="true"/>
        </w:trPr>
        <w:tc>
          <w:tcPr>
            <w:tcW w:w="71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rPr>
                <w:rFonts w:ascii="Liberation Serif" w:hAnsi="Liberation Serif" w:cs="Arial"/>
                <w:sz w:val="22"/>
                <w:szCs w:val="22"/>
                <w:lang w:val="en-GB"/>
              </w:rPr>
            </w:pPr>
            <w:r>
              <w:rPr>
                <w:rFonts w:cs="Arial" w:ascii="Liberation Serif" w:hAnsi="Liberation Serif"/>
                <w:sz w:val="22"/>
                <w:szCs w:val="22"/>
                <w:lang w:val="en-GB"/>
              </w:rPr>
            </w:r>
          </w:p>
          <w:p>
            <w:pPr>
              <w:pStyle w:val="Normal"/>
              <w:widowControl w:val="false"/>
              <w:suppressAutoHyphens w:val="true"/>
              <w:snapToGrid w:val="false"/>
              <w:jc w:val="center"/>
              <w:rPr>
                <w:rFonts w:ascii="Liberation Serif" w:hAnsi="Liberation Serif" w:cs="Arial"/>
                <w:sz w:val="22"/>
                <w:szCs w:val="22"/>
                <w:lang w:val="en-GB"/>
              </w:rPr>
            </w:pPr>
            <w:r>
              <w:rPr>
                <w:rFonts w:cs="Arial" w:ascii="Liberation Serif" w:hAnsi="Liberation Serif"/>
                <w:sz w:val="22"/>
                <w:szCs w:val="22"/>
                <w:lang w:val="en-GB"/>
              </w:rPr>
              <w:t>03</w:t>
            </w:r>
          </w:p>
        </w:tc>
        <w:tc>
          <w:tcPr>
            <w:tcW w:w="252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rPr>
                <w:rFonts w:ascii="Liberation Serif" w:hAnsi="Liberation Serif"/>
                <w:b w:val="false"/>
                <w:b w:val="false"/>
                <w:bCs w:val="false"/>
                <w:sz w:val="22"/>
                <w:szCs w:val="22"/>
                <w:lang w:val="en-GB"/>
              </w:rPr>
            </w:pPr>
            <w:r>
              <w:rPr>
                <w:rFonts w:ascii="Liberation Serif" w:hAnsi="Liberation Serif"/>
                <w:b w:val="false"/>
                <w:bCs w:val="false"/>
                <w:sz w:val="22"/>
                <w:szCs w:val="22"/>
                <w:lang w:val="en-GB"/>
              </w:rPr>
              <w:t>Color Ribbon (Original)</w:t>
            </w:r>
          </w:p>
        </w:tc>
        <w:tc>
          <w:tcPr>
            <w:tcW w:w="99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rPr>
                <w:rFonts w:ascii="Liberation Serif" w:hAnsi="Liberation Serif" w:cs="Arial"/>
                <w:bCs/>
                <w:sz w:val="22"/>
                <w:szCs w:val="22"/>
                <w:lang w:val="en-GB"/>
              </w:rPr>
            </w:pPr>
            <w:r>
              <w:rPr>
                <w:rFonts w:cs="Arial" w:ascii="Liberation Serif" w:hAnsi="Liberation Serif"/>
                <w:bCs/>
                <w:sz w:val="22"/>
                <w:szCs w:val="22"/>
                <w:lang w:val="en-GB"/>
              </w:rPr>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rPr>
                <w:rFonts w:ascii="Liberation Serif" w:hAnsi="Liberation Serif" w:cs="Arial"/>
                <w:bCs/>
                <w:sz w:val="22"/>
                <w:szCs w:val="22"/>
                <w:lang w:val="en-GB"/>
              </w:rPr>
            </w:pPr>
            <w:r>
              <w:rPr>
                <w:rFonts w:cs="Arial" w:ascii="Liberation Serif" w:hAnsi="Liberation Serif"/>
                <w:bCs/>
                <w:sz w:val="22"/>
                <w:szCs w:val="22"/>
                <w:lang w:val="en-GB"/>
              </w:rPr>
            </w:r>
          </w:p>
        </w:tc>
        <w:tc>
          <w:tcPr>
            <w:tcW w:w="34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jc w:val="center"/>
              <w:rPr>
                <w:rFonts w:ascii="Liberation Serif" w:hAnsi="Liberation Serif" w:cs="Arial"/>
                <w:bCs/>
                <w:sz w:val="22"/>
                <w:szCs w:val="22"/>
                <w:lang w:val="en-GB"/>
              </w:rPr>
            </w:pPr>
            <w:r>
              <w:rPr>
                <w:rFonts w:cs="Arial" w:ascii="Liberation Serif" w:hAnsi="Liberation Serif"/>
                <w:bCs/>
                <w:sz w:val="22"/>
                <w:szCs w:val="22"/>
                <w:lang w:val="en-GB"/>
              </w:rPr>
              <w:t>Specification mentioned in page 76</w:t>
            </w:r>
          </w:p>
        </w:tc>
      </w:tr>
      <w:tr>
        <w:trPr>
          <w:trHeight w:val="52" w:hRule="atLeast"/>
          <w:cantSplit w:val="true"/>
        </w:trPr>
        <w:tc>
          <w:tcPr>
            <w:tcW w:w="71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rPr>
                <w:rFonts w:ascii="Liberation Serif" w:hAnsi="Liberation Serif" w:cs="Arial"/>
                <w:sz w:val="22"/>
                <w:szCs w:val="22"/>
                <w:lang w:val="en-GB"/>
              </w:rPr>
            </w:pPr>
            <w:r>
              <w:rPr>
                <w:rFonts w:cs="Arial" w:ascii="Liberation Serif" w:hAnsi="Liberation Serif"/>
                <w:sz w:val="22"/>
                <w:szCs w:val="22"/>
                <w:lang w:val="en-GB"/>
              </w:rPr>
            </w:r>
          </w:p>
          <w:p>
            <w:pPr>
              <w:pStyle w:val="Normal"/>
              <w:widowControl w:val="false"/>
              <w:suppressAutoHyphens w:val="true"/>
              <w:snapToGrid w:val="false"/>
              <w:jc w:val="center"/>
              <w:rPr>
                <w:rFonts w:ascii="Liberation Serif" w:hAnsi="Liberation Serif" w:cs="Arial"/>
                <w:sz w:val="22"/>
                <w:szCs w:val="22"/>
                <w:lang w:val="en-GB"/>
              </w:rPr>
            </w:pPr>
            <w:r>
              <w:rPr>
                <w:rFonts w:cs="Arial" w:ascii="Liberation Serif" w:hAnsi="Liberation Serif"/>
                <w:sz w:val="22"/>
                <w:szCs w:val="22"/>
                <w:lang w:val="en-GB"/>
              </w:rPr>
              <w:t>04</w:t>
            </w:r>
          </w:p>
        </w:tc>
        <w:tc>
          <w:tcPr>
            <w:tcW w:w="252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before="120" w:after="120"/>
              <w:rPr>
                <w:rFonts w:ascii="Liberation Serif" w:hAnsi="Liberation Serif"/>
                <w:b w:val="false"/>
                <w:b w:val="false"/>
                <w:bCs w:val="false"/>
                <w:sz w:val="22"/>
                <w:szCs w:val="22"/>
                <w:lang w:val="en-GB"/>
              </w:rPr>
            </w:pPr>
            <w:r>
              <w:rPr>
                <w:rFonts w:ascii="Liberation Serif" w:hAnsi="Liberation Serif"/>
                <w:b w:val="false"/>
                <w:bCs w:val="false"/>
                <w:sz w:val="22"/>
                <w:szCs w:val="22"/>
                <w:lang w:val="en-GB"/>
              </w:rPr>
              <w:t>Cleaning Kit</w:t>
            </w:r>
          </w:p>
        </w:tc>
        <w:tc>
          <w:tcPr>
            <w:tcW w:w="99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rPr>
                <w:rFonts w:ascii="Liberation Serif" w:hAnsi="Liberation Serif" w:cs="Arial"/>
                <w:bCs/>
                <w:sz w:val="22"/>
                <w:szCs w:val="22"/>
                <w:lang w:val="en-GB"/>
              </w:rPr>
            </w:pPr>
            <w:r>
              <w:rPr>
                <w:rFonts w:cs="Arial" w:ascii="Liberation Serif" w:hAnsi="Liberation Serif"/>
                <w:bCs/>
                <w:sz w:val="22"/>
                <w:szCs w:val="22"/>
                <w:lang w:val="en-GB"/>
              </w:rPr>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rPr>
                <w:rFonts w:ascii="Liberation Serif" w:hAnsi="Liberation Serif" w:cs="Arial"/>
                <w:bCs/>
                <w:sz w:val="22"/>
                <w:szCs w:val="22"/>
                <w:lang w:val="en-GB"/>
              </w:rPr>
            </w:pPr>
            <w:r>
              <w:rPr>
                <w:rFonts w:cs="Arial" w:ascii="Liberation Serif" w:hAnsi="Liberation Serif"/>
                <w:bCs/>
                <w:sz w:val="22"/>
                <w:szCs w:val="22"/>
                <w:lang w:val="en-GB"/>
              </w:rPr>
            </w:r>
          </w:p>
        </w:tc>
        <w:tc>
          <w:tcPr>
            <w:tcW w:w="34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jc w:val="center"/>
              <w:rPr>
                <w:rFonts w:ascii="Liberation Serif" w:hAnsi="Liberation Serif" w:cs="Arial"/>
                <w:bCs/>
                <w:sz w:val="22"/>
                <w:szCs w:val="22"/>
                <w:lang w:val="en-GB"/>
              </w:rPr>
            </w:pPr>
            <w:r>
              <w:rPr>
                <w:rFonts w:cs="Arial" w:ascii="Liberation Serif" w:hAnsi="Liberation Serif"/>
                <w:bCs/>
                <w:sz w:val="22"/>
                <w:szCs w:val="22"/>
                <w:lang w:val="en-GB"/>
              </w:rPr>
              <w:t>Specification mentioned in page 76</w:t>
            </w:r>
          </w:p>
        </w:tc>
      </w:tr>
      <w:tr>
        <w:trPr>
          <w:trHeight w:val="52" w:hRule="atLeast"/>
          <w:cantSplit w:val="true"/>
        </w:trPr>
        <w:tc>
          <w:tcPr>
            <w:tcW w:w="891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before="60" w:after="60"/>
              <w:jc w:val="both"/>
              <w:rPr>
                <w:rFonts w:ascii="Arial" w:hAnsi="Arial" w:cs="Arial"/>
                <w:b/>
                <w:b/>
                <w:bCs/>
                <w:lang w:val="en-GB"/>
              </w:rPr>
            </w:pPr>
            <w:r>
              <w:rPr>
                <w:rFonts w:cs="Arial" w:ascii="Arial" w:hAnsi="Arial"/>
                <w:b/>
                <w:bCs/>
                <w:sz w:val="20"/>
                <w:szCs w:val="22"/>
                <w:lang w:val="en-GB"/>
              </w:rPr>
              <w:t xml:space="preserve">Lot-2: </w:t>
            </w:r>
            <w:r>
              <w:rPr>
                <w:rFonts w:cs="Arial" w:ascii="Arial" w:hAnsi="Arial"/>
                <w:b/>
                <w:bCs/>
                <w:sz w:val="20"/>
                <w:szCs w:val="32"/>
                <w:lang w:val="en-GB"/>
              </w:rPr>
              <w:t>Contactless NFC PVC Card (8K)</w:t>
            </w:r>
          </w:p>
        </w:tc>
      </w:tr>
      <w:tr>
        <w:trPr>
          <w:trHeight w:val="52" w:hRule="atLeast"/>
          <w:cantSplit w:val="true"/>
        </w:trPr>
        <w:tc>
          <w:tcPr>
            <w:tcW w:w="71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rPr>
                <w:rFonts w:ascii="Liberation Serif" w:hAnsi="Liberation Serif" w:eastAsia="SimSun" w:cs="Times New Roman"/>
                <w:b w:val="false"/>
                <w:b w:val="false"/>
                <w:bCs w:val="false"/>
                <w:color w:val="auto"/>
                <w:spacing w:val="-4"/>
                <w:kern w:val="0"/>
                <w:sz w:val="22"/>
                <w:szCs w:val="22"/>
                <w:lang w:val="en-US" w:eastAsia="zh-CN" w:bidi="he-IL"/>
              </w:rPr>
            </w:pPr>
            <w:r>
              <w:rPr>
                <w:rFonts w:eastAsia="SimSun" w:cs="Times New Roman" w:ascii="Liberation Serif" w:hAnsi="Liberation Serif"/>
                <w:b w:val="false"/>
                <w:bCs w:val="false"/>
                <w:color w:val="auto"/>
                <w:spacing w:val="-4"/>
                <w:kern w:val="0"/>
                <w:sz w:val="22"/>
                <w:szCs w:val="22"/>
                <w:lang w:val="en-US" w:eastAsia="zh-CN" w:bidi="he-IL"/>
              </w:rPr>
            </w:r>
          </w:p>
          <w:p>
            <w:pPr>
              <w:pStyle w:val="Normal"/>
              <w:widowControl w:val="false"/>
              <w:suppressAutoHyphens w:val="true"/>
              <w:snapToGrid w:val="false"/>
              <w:jc w:val="center"/>
              <w:rPr>
                <w:rFonts w:ascii="Liberation Serif" w:hAnsi="Liberation Serif" w:eastAsia="SimSun" w:cs="Times New Roman"/>
                <w:b w:val="false"/>
                <w:b w:val="false"/>
                <w:bCs w:val="false"/>
                <w:color w:val="auto"/>
                <w:spacing w:val="-4"/>
                <w:kern w:val="0"/>
                <w:sz w:val="22"/>
                <w:szCs w:val="22"/>
                <w:lang w:val="en-US" w:eastAsia="zh-CN" w:bidi="he-IL"/>
              </w:rPr>
            </w:pPr>
            <w:r>
              <w:rPr>
                <w:rFonts w:eastAsia="SimSun" w:cs="Times New Roman" w:ascii="Liberation Serif" w:hAnsi="Liberation Serif"/>
                <w:b w:val="false"/>
                <w:bCs w:val="false"/>
                <w:color w:val="auto"/>
                <w:spacing w:val="-4"/>
                <w:kern w:val="0"/>
                <w:sz w:val="22"/>
                <w:szCs w:val="22"/>
                <w:lang w:val="en-US" w:eastAsia="zh-CN" w:bidi="he-IL"/>
              </w:rPr>
              <w:t>01</w:t>
            </w:r>
          </w:p>
        </w:tc>
        <w:tc>
          <w:tcPr>
            <w:tcW w:w="252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rPr>
                <w:rFonts w:ascii="Liberation Serif" w:hAnsi="Liberation Serif" w:eastAsia="SimSun" w:cs="Times New Roman"/>
                <w:b w:val="false"/>
                <w:b w:val="false"/>
                <w:bCs w:val="false"/>
                <w:color w:val="auto"/>
                <w:spacing w:val="-4"/>
                <w:kern w:val="0"/>
                <w:sz w:val="22"/>
                <w:szCs w:val="22"/>
                <w:lang w:val="en-US" w:eastAsia="zh-CN" w:bidi="he-IL"/>
              </w:rPr>
            </w:pPr>
            <w:r>
              <w:rPr>
                <w:rFonts w:eastAsia="SimSun" w:cs="Times New Roman" w:ascii="Liberation Serif" w:hAnsi="Liberation Serif"/>
                <w:b w:val="false"/>
                <w:bCs w:val="false"/>
                <w:color w:val="auto"/>
                <w:spacing w:val="-4"/>
                <w:kern w:val="0"/>
                <w:sz w:val="22"/>
                <w:szCs w:val="22"/>
                <w:lang w:val="en-US" w:eastAsia="zh-CN" w:bidi="he-IL"/>
              </w:rPr>
              <w:t>Contactless NFC PVC Card (8K</w:t>
            </w:r>
            <w:r>
              <w:rPr>
                <w:rFonts w:eastAsia="SimSun" w:cs="Times New Roman" w:ascii="Liberation Serif" w:hAnsi="Liberation Serif"/>
                <w:b w:val="false"/>
                <w:bCs w:val="false"/>
                <w:color w:val="auto"/>
                <w:spacing w:val="-4"/>
                <w:kern w:val="0"/>
                <w:sz w:val="22"/>
                <w:szCs w:val="22"/>
                <w:lang w:val="en-US" w:eastAsia="zh-CN" w:bidi="he-IL"/>
              </w:rPr>
              <w:t>B</w:t>
            </w:r>
            <w:r>
              <w:rPr>
                <w:rFonts w:eastAsia="SimSun" w:cs="Times New Roman" w:ascii="Liberation Serif" w:hAnsi="Liberation Serif"/>
                <w:b w:val="false"/>
                <w:bCs w:val="false"/>
                <w:color w:val="auto"/>
                <w:spacing w:val="-4"/>
                <w:kern w:val="0"/>
                <w:sz w:val="22"/>
                <w:szCs w:val="22"/>
                <w:lang w:val="en-US" w:eastAsia="zh-CN" w:bidi="he-IL"/>
              </w:rPr>
              <w:t>)</w:t>
            </w:r>
          </w:p>
        </w:tc>
        <w:tc>
          <w:tcPr>
            <w:tcW w:w="99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rPr>
                <w:rFonts w:ascii="Liberation Serif" w:hAnsi="Liberation Serif" w:eastAsia="SimSun" w:cs="Times New Roman"/>
                <w:b w:val="false"/>
                <w:b w:val="false"/>
                <w:bCs w:val="false"/>
                <w:color w:val="auto"/>
                <w:spacing w:val="-4"/>
                <w:kern w:val="0"/>
                <w:sz w:val="22"/>
                <w:szCs w:val="22"/>
                <w:lang w:val="en-US" w:eastAsia="zh-CN" w:bidi="he-IL"/>
              </w:rPr>
            </w:pPr>
            <w:r>
              <w:rPr>
                <w:rFonts w:eastAsia="SimSun" w:cs="Times New Roman" w:ascii="Liberation Serif" w:hAnsi="Liberation Serif"/>
                <w:b w:val="false"/>
                <w:bCs w:val="false"/>
                <w:color w:val="auto"/>
                <w:spacing w:val="-4"/>
                <w:kern w:val="0"/>
                <w:sz w:val="22"/>
                <w:szCs w:val="22"/>
                <w:lang w:val="en-US" w:eastAsia="zh-CN" w:bidi="he-IL"/>
              </w:rPr>
            </w:r>
          </w:p>
        </w:tc>
        <w:tc>
          <w:tcPr>
            <w:tcW w:w="1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rPr>
                <w:rFonts w:ascii="Liberation Serif" w:hAnsi="Liberation Serif" w:eastAsia="SimSun" w:cs="Times New Roman"/>
                <w:b w:val="false"/>
                <w:b w:val="false"/>
                <w:bCs w:val="false"/>
                <w:color w:val="auto"/>
                <w:spacing w:val="-4"/>
                <w:kern w:val="0"/>
                <w:sz w:val="22"/>
                <w:szCs w:val="22"/>
                <w:lang w:val="en-US" w:eastAsia="zh-CN" w:bidi="he-IL"/>
              </w:rPr>
            </w:pPr>
            <w:r>
              <w:rPr>
                <w:rFonts w:eastAsia="SimSun" w:cs="Times New Roman" w:ascii="Liberation Serif" w:hAnsi="Liberation Serif"/>
                <w:b w:val="false"/>
                <w:bCs w:val="false"/>
                <w:color w:val="auto"/>
                <w:spacing w:val="-4"/>
                <w:kern w:val="0"/>
                <w:sz w:val="22"/>
                <w:szCs w:val="22"/>
                <w:lang w:val="en-US" w:eastAsia="zh-CN" w:bidi="he-IL"/>
              </w:rPr>
            </w:r>
          </w:p>
        </w:tc>
        <w:tc>
          <w:tcPr>
            <w:tcW w:w="34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120"/>
              <w:jc w:val="center"/>
              <w:rPr>
                <w:rFonts w:ascii="Liberation Serif" w:hAnsi="Liberation Serif" w:eastAsia="SimSun" w:cs="Times New Roman"/>
                <w:b w:val="false"/>
                <w:b w:val="false"/>
                <w:bCs w:val="false"/>
                <w:color w:val="auto"/>
                <w:spacing w:val="-4"/>
                <w:kern w:val="0"/>
                <w:sz w:val="22"/>
                <w:szCs w:val="22"/>
                <w:lang w:val="en-US" w:eastAsia="zh-CN" w:bidi="he-IL"/>
              </w:rPr>
            </w:pPr>
            <w:r>
              <w:rPr>
                <w:rFonts w:eastAsia="SimSun" w:cs="Times New Roman" w:ascii="Liberation Serif" w:hAnsi="Liberation Serif"/>
                <w:b w:val="false"/>
                <w:bCs w:val="false"/>
                <w:color w:val="auto"/>
                <w:spacing w:val="-4"/>
                <w:kern w:val="0"/>
                <w:sz w:val="22"/>
                <w:szCs w:val="22"/>
                <w:lang w:val="en-US" w:eastAsia="zh-CN" w:bidi="he-IL"/>
              </w:rPr>
              <w:t>Specification mentioned in page 77</w:t>
            </w:r>
          </w:p>
        </w:tc>
      </w:tr>
    </w:tbl>
    <w:p>
      <w:pPr>
        <w:pStyle w:val="Normal"/>
        <w:suppressAutoHyphens w:val="true"/>
        <w:rPr>
          <w:rFonts w:ascii="Arial" w:hAnsi="Arial" w:cs="Arial"/>
          <w:sz w:val="22"/>
          <w:szCs w:val="22"/>
          <w:lang w:val="en-GB"/>
        </w:rPr>
      </w:pPr>
      <w:r>
        <w:rPr>
          <w:rFonts w:cs="Arial" w:ascii="Arial" w:hAnsi="Arial"/>
          <w:sz w:val="22"/>
          <w:szCs w:val="22"/>
          <w:lang w:val="en-GB"/>
        </w:rPr>
      </w:r>
    </w:p>
    <w:p>
      <w:pPr>
        <w:pStyle w:val="Normal"/>
        <w:suppressAutoHyphens w:val="true"/>
        <w:rPr>
          <w:rFonts w:ascii="Arial" w:hAnsi="Arial" w:cs="Arial"/>
          <w:sz w:val="22"/>
          <w:szCs w:val="22"/>
          <w:lang w:val="en-GB"/>
        </w:rPr>
      </w:pPr>
      <w:r>
        <w:rPr>
          <w:rFonts w:cs="Arial" w:ascii="Arial" w:hAnsi="Arial"/>
          <w:bCs/>
          <w:i/>
          <w:iCs/>
          <w:sz w:val="22"/>
          <w:szCs w:val="22"/>
          <w:lang w:val="en-GB"/>
        </w:rPr>
        <w:t>[The Tenderer should complete all the columns as required]</w:t>
      </w:r>
    </w:p>
    <w:p>
      <w:pPr>
        <w:pStyle w:val="Normal"/>
        <w:suppressAutoHyphens w:val="true"/>
        <w:rPr>
          <w:rFonts w:ascii="Arial" w:hAnsi="Arial" w:cs="Arial"/>
          <w:sz w:val="22"/>
          <w:szCs w:val="22"/>
          <w:lang w:val="en-GB"/>
        </w:rPr>
      </w:pPr>
      <w:r>
        <w:rPr>
          <w:rFonts w:cs="Arial" w:ascii="Arial" w:hAnsi="Arial"/>
          <w:sz w:val="22"/>
          <w:szCs w:val="22"/>
          <w:lang w:val="en-GB"/>
        </w:rPr>
      </w:r>
    </w:p>
    <w:p>
      <w:pPr>
        <w:pStyle w:val="Normal"/>
        <w:rPr>
          <w:rFonts w:ascii="Arial" w:hAnsi="Arial" w:cs="Arial"/>
          <w:sz w:val="22"/>
          <w:szCs w:val="22"/>
          <w:lang w:val="en-GB"/>
        </w:rPr>
      </w:pPr>
      <w:r>
        <w:rPr>
          <w:rFonts w:cs="Arial" w:ascii="Arial" w:hAnsi="Arial"/>
          <w:sz w:val="22"/>
          <w:szCs w:val="22"/>
          <w:lang w:val="en-GB"/>
        </w:rPr>
      </w:r>
    </w:p>
    <w:tbl>
      <w:tblPr>
        <w:tblpPr w:vertAnchor="text" w:horzAnchor="page" w:tblpXSpec="center" w:leftFromText="180" w:rightFromText="180" w:tblpY="35"/>
        <w:tblW w:w="7560"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3073"/>
        <w:gridCol w:w="4486"/>
      </w:tblGrid>
      <w:tr>
        <w:trPr>
          <w:trHeight w:val="243" w:hRule="atLeast"/>
        </w:trPr>
        <w:tc>
          <w:tcPr>
            <w:tcW w:w="307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sz w:val="21"/>
                <w:szCs w:val="21"/>
                <w:lang w:eastAsia="en-US"/>
              </w:rPr>
            </w:pPr>
            <w:r>
              <w:rPr>
                <w:rFonts w:cs="Arial" w:ascii="Arial" w:hAnsi="Arial"/>
                <w:sz w:val="21"/>
                <w:szCs w:val="21"/>
                <w:lang w:eastAsia="en-US"/>
              </w:rPr>
              <w:t>Signature:</w:t>
            </w:r>
          </w:p>
        </w:tc>
        <w:tc>
          <w:tcPr>
            <w:tcW w:w="448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i/>
                <w:i/>
                <w:iCs/>
                <w:sz w:val="21"/>
                <w:szCs w:val="21"/>
                <w:lang w:eastAsia="en-US"/>
              </w:rPr>
            </w:pPr>
            <w:r>
              <w:rPr>
                <w:rFonts w:cs="Arial" w:ascii="Arial" w:hAnsi="Arial"/>
                <w:i/>
                <w:iCs/>
                <w:sz w:val="21"/>
                <w:szCs w:val="21"/>
                <w:lang w:eastAsia="en-US"/>
              </w:rPr>
              <w:t>[insert signature of authorised representative of the Tenderer]</w:t>
            </w:r>
          </w:p>
        </w:tc>
      </w:tr>
      <w:tr>
        <w:trPr>
          <w:trHeight w:val="243" w:hRule="atLeast"/>
        </w:trPr>
        <w:tc>
          <w:tcPr>
            <w:tcW w:w="307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sz w:val="21"/>
                <w:szCs w:val="21"/>
                <w:lang w:eastAsia="en-US"/>
              </w:rPr>
            </w:pPr>
            <w:r>
              <w:rPr>
                <w:rFonts w:cs="Arial" w:ascii="Arial" w:hAnsi="Arial"/>
                <w:sz w:val="21"/>
                <w:szCs w:val="21"/>
                <w:lang w:eastAsia="en-US"/>
              </w:rPr>
              <w:t>Name:</w:t>
            </w:r>
          </w:p>
        </w:tc>
        <w:tc>
          <w:tcPr>
            <w:tcW w:w="448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i/>
                <w:i/>
                <w:iCs/>
                <w:sz w:val="21"/>
                <w:szCs w:val="21"/>
                <w:lang w:eastAsia="en-US"/>
              </w:rPr>
            </w:pPr>
            <w:r>
              <w:rPr>
                <w:rFonts w:cs="Arial" w:ascii="Arial" w:hAnsi="Arial"/>
                <w:i/>
                <w:iCs/>
                <w:sz w:val="21"/>
                <w:szCs w:val="21"/>
                <w:lang w:eastAsia="en-US"/>
              </w:rPr>
              <w:t>[insert full name of signatory with National ID]</w:t>
            </w:r>
          </w:p>
        </w:tc>
      </w:tr>
      <w:tr>
        <w:trPr>
          <w:trHeight w:val="443" w:hRule="atLeast"/>
        </w:trPr>
        <w:tc>
          <w:tcPr>
            <w:tcW w:w="307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sz w:val="21"/>
                <w:szCs w:val="21"/>
                <w:lang w:eastAsia="en-US"/>
              </w:rPr>
            </w:pPr>
            <w:r>
              <w:rPr>
                <w:rFonts w:cs="Arial" w:ascii="Arial" w:hAnsi="Arial"/>
                <w:sz w:val="21"/>
                <w:szCs w:val="21"/>
                <w:lang w:eastAsia="en-US"/>
              </w:rPr>
              <w:t>In the capacity of:</w:t>
            </w:r>
          </w:p>
        </w:tc>
        <w:tc>
          <w:tcPr>
            <w:tcW w:w="448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i/>
                <w:i/>
                <w:iCs/>
                <w:sz w:val="21"/>
                <w:szCs w:val="21"/>
                <w:lang w:eastAsia="en-US"/>
              </w:rPr>
            </w:pPr>
            <w:r>
              <w:rPr>
                <w:rFonts w:cs="Arial" w:ascii="Arial" w:hAnsi="Arial"/>
                <w:i/>
                <w:iCs/>
                <w:sz w:val="21"/>
                <w:szCs w:val="21"/>
                <w:lang w:eastAsia="en-US"/>
              </w:rPr>
              <w:t>[insert designation of signatory]</w:t>
            </w:r>
          </w:p>
        </w:tc>
      </w:tr>
      <w:tr>
        <w:trPr/>
        <w:tc>
          <w:tcPr>
            <w:tcW w:w="755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60" w:after="60"/>
              <w:rPr>
                <w:rFonts w:ascii="Arial" w:hAnsi="Arial" w:cs="Arial"/>
                <w:sz w:val="21"/>
                <w:szCs w:val="21"/>
                <w:lang w:eastAsia="en-US"/>
              </w:rPr>
            </w:pPr>
            <w:r>
              <w:rPr>
                <w:rFonts w:cs="Arial" w:ascii="Arial" w:hAnsi="Arial"/>
                <w:sz w:val="21"/>
                <w:szCs w:val="21"/>
                <w:lang w:eastAsia="en-US"/>
              </w:rPr>
              <w:t>Duly authorised to sign the Tender for and on behalf of the Tenderer</w:t>
            </w:r>
          </w:p>
        </w:tc>
      </w:tr>
    </w:tbl>
    <w:p>
      <w:pPr>
        <w:pStyle w:val="Normal"/>
        <w:rPr>
          <w:rFonts w:ascii="Arial" w:hAnsi="Arial" w:cs="Arial"/>
          <w:sz w:val="22"/>
          <w:szCs w:val="22"/>
          <w:lang w:val="en-GB"/>
        </w:rPr>
      </w:pPr>
      <w:r>
        <w:rPr>
          <w:rFonts w:cs="Arial" w:ascii="Arial" w:hAnsi="Arial"/>
          <w:sz w:val="22"/>
          <w:szCs w:val="22"/>
          <w:lang w:val="en-GB"/>
        </w:rPr>
      </w:r>
    </w:p>
    <w:p>
      <w:pPr>
        <w:pStyle w:val="Normal"/>
        <w:rPr>
          <w:rFonts w:ascii="Arial" w:hAnsi="Arial" w:cs="Arial"/>
          <w:sz w:val="22"/>
          <w:szCs w:val="22"/>
          <w:lang w:val="en-GB"/>
        </w:rPr>
      </w:pPr>
      <w:r>
        <w:rPr>
          <w:rFonts w:cs="Arial" w:ascii="Arial" w:hAnsi="Arial"/>
          <w:sz w:val="22"/>
          <w:szCs w:val="22"/>
          <w:lang w:val="en-GB"/>
        </w:rPr>
      </w:r>
    </w:p>
    <w:p>
      <w:pPr>
        <w:pStyle w:val="Normal"/>
        <w:rPr>
          <w:rFonts w:ascii="Arial" w:hAnsi="Arial" w:cs="Arial"/>
          <w:sz w:val="22"/>
          <w:szCs w:val="22"/>
          <w:lang w:val="en-GB"/>
        </w:rPr>
      </w:pPr>
      <w:r>
        <w:rPr>
          <w:rFonts w:cs="Arial" w:ascii="Arial" w:hAnsi="Arial"/>
          <w:sz w:val="22"/>
          <w:szCs w:val="22"/>
          <w:lang w:val="en-GB"/>
        </w:rPr>
      </w:r>
    </w:p>
    <w:p>
      <w:pPr>
        <w:pStyle w:val="SectionVHeader"/>
        <w:spacing w:before="120" w:after="120"/>
        <w:jc w:val="right"/>
        <w:rPr>
          <w:rFonts w:ascii="Arial" w:hAnsi="Arial" w:cs="Arial"/>
          <w:sz w:val="20"/>
          <w:lang w:val="en-GB"/>
        </w:rPr>
      </w:pPr>
      <w:r>
        <w:rPr>
          <w:rFonts w:cs="Arial" w:ascii="Arial" w:hAnsi="Arial"/>
          <w:sz w:val="20"/>
          <w:lang w:val="en-GB"/>
        </w:rPr>
      </w:r>
      <w:r>
        <w:br w:type="page"/>
      </w:r>
    </w:p>
    <w:p>
      <w:pPr>
        <w:pStyle w:val="Heading2"/>
        <w:rPr>
          <w:rFonts w:ascii="Arial" w:hAnsi="Arial"/>
          <w:lang w:val="en-GB"/>
        </w:rPr>
      </w:pPr>
      <w:bookmarkStart w:id="801" w:name="_Toc50275649"/>
      <w:bookmarkStart w:id="802" w:name="_Toc421454331"/>
      <w:r>
        <w:rPr>
          <w:rFonts w:ascii="Arial" w:hAnsi="Arial"/>
          <w:lang w:val="en-GB"/>
        </w:rPr>
        <w:t>Manufacturer’s Authorisation Letter (Form PG3 - 6)</w:t>
      </w:r>
      <w:bookmarkEnd w:id="801"/>
      <w:bookmarkEnd w:id="802"/>
    </w:p>
    <w:p>
      <w:pPr>
        <w:pStyle w:val="Normal"/>
        <w:jc w:val="both"/>
        <w:rPr>
          <w:rFonts w:ascii="Arial" w:hAnsi="Arial" w:cs="Arial"/>
          <w:lang w:val="en-GB"/>
        </w:rPr>
      </w:pPr>
      <w:r>
        <w:rPr>
          <w:rFonts w:cs="Arial" w:ascii="Arial" w:hAnsi="Arial"/>
          <w:lang w:val="en-GB"/>
        </w:rPr>
      </w:r>
    </w:p>
    <w:p>
      <w:pPr>
        <w:pStyle w:val="Normal"/>
        <w:jc w:val="both"/>
        <w:rPr>
          <w:rFonts w:ascii="Arial" w:hAnsi="Arial" w:cs="Arial"/>
          <w:i/>
          <w:i/>
          <w:iCs/>
          <w:sz w:val="18"/>
          <w:szCs w:val="18"/>
        </w:rPr>
      </w:pPr>
      <w:r>
        <w:rPr>
          <w:rFonts w:cs="Arial" w:ascii="Arial" w:hAnsi="Arial"/>
          <w:i/>
          <w:iCs/>
          <w:sz w:val="22"/>
          <w:szCs w:val="22"/>
        </w:rPr>
        <w:t>[</w:t>
      </w:r>
      <w:r>
        <w:rPr>
          <w:rFonts w:cs="Arial" w:ascii="Arial" w:hAnsi="Arial"/>
          <w:i/>
          <w:iCs/>
          <w:sz w:val="18"/>
          <w:szCs w:val="18"/>
        </w:rPr>
        <w:t>The Tenderer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w:t>
      </w:r>
    </w:p>
    <w:p>
      <w:pPr>
        <w:pStyle w:val="Normal"/>
        <w:jc w:val="both"/>
        <w:rPr>
          <w:rFonts w:ascii="Arial" w:hAnsi="Arial" w:cs="Arial"/>
          <w:i/>
          <w:i/>
          <w:iCs/>
          <w:sz w:val="22"/>
          <w:szCs w:val="22"/>
        </w:rPr>
      </w:pPr>
      <w:r>
        <w:rPr>
          <w:rFonts w:cs="Arial" w:ascii="Arial" w:hAnsi="Arial"/>
          <w:i/>
          <w:iCs/>
          <w:sz w:val="22"/>
          <w:szCs w:val="22"/>
        </w:rPr>
      </w:r>
    </w:p>
    <w:p>
      <w:pPr>
        <w:pStyle w:val="Normal"/>
        <w:jc w:val="both"/>
        <w:rPr>
          <w:rFonts w:ascii="Arial" w:hAnsi="Arial" w:cs="Arial"/>
          <w:i/>
          <w:i/>
          <w:iCs/>
          <w:sz w:val="18"/>
          <w:szCs w:val="18"/>
        </w:rPr>
      </w:pPr>
      <w:r>
        <w:rPr>
          <w:rFonts w:cs="Arial" w:ascii="Arial" w:hAnsi="Arial"/>
          <w:i/>
          <w:iCs/>
          <w:sz w:val="18"/>
          <w:szCs w:val="18"/>
        </w:rPr>
        <w:t xml:space="preserve">[The Tenderer shall include it in its Tender, if so indicated in the </w:t>
      </w:r>
      <w:r>
        <w:rPr>
          <w:rFonts w:cs="Arial" w:ascii="Arial" w:hAnsi="Arial"/>
          <w:b/>
          <w:i/>
          <w:iCs/>
          <w:sz w:val="18"/>
          <w:szCs w:val="18"/>
        </w:rPr>
        <w:t>TDS as stated under ITT SubClause27.1 (f)]</w:t>
      </w:r>
    </w:p>
    <w:p>
      <w:pPr>
        <w:pStyle w:val="Normal"/>
        <w:jc w:val="both"/>
        <w:rPr>
          <w:rFonts w:ascii="Arial" w:hAnsi="Arial" w:cs="Arial"/>
          <w:lang w:val="en-GB"/>
        </w:rPr>
      </w:pPr>
      <w:r>
        <w:rPr>
          <w:rFonts w:cs="Arial" w:ascii="Arial" w:hAnsi="Arial"/>
          <w:lang w:val="en-GB"/>
        </w:rPr>
      </w:r>
    </w:p>
    <w:tbl>
      <w:tblPr>
        <w:tblW w:w="9000"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4512"/>
        <w:gridCol w:w="4487"/>
      </w:tblGrid>
      <w:tr>
        <w:trPr/>
        <w:tc>
          <w:tcPr>
            <w:tcW w:w="4512" w:type="dxa"/>
            <w:tcBorders>
              <w:top w:val="single" w:sz="6" w:space="0" w:color="000000"/>
              <w:left w:val="single" w:sz="6" w:space="0" w:color="000000"/>
              <w:bottom w:val="single" w:sz="6" w:space="0" w:color="000000"/>
              <w:right w:val="single" w:sz="6" w:space="0" w:color="000000"/>
            </w:tcBorders>
          </w:tcPr>
          <w:p>
            <w:pPr>
              <w:pStyle w:val="Normal"/>
              <w:widowControl w:val="false"/>
              <w:jc w:val="both"/>
              <w:rPr>
                <w:rFonts w:ascii="Arial" w:hAnsi="Arial" w:cs="Arial"/>
                <w:lang w:val="en-GB"/>
              </w:rPr>
            </w:pPr>
            <w:r>
              <w:rPr>
                <w:rFonts w:cs="Arial" w:ascii="Arial" w:hAnsi="Arial"/>
                <w:lang w:val="en-GB"/>
              </w:rPr>
              <w:t>Invitation for Tender No:</w:t>
            </w:r>
          </w:p>
          <w:p>
            <w:pPr>
              <w:pStyle w:val="Normal"/>
              <w:widowControl w:val="false"/>
              <w:jc w:val="both"/>
              <w:rPr>
                <w:rFonts w:ascii="Arial" w:hAnsi="Arial" w:cs="Arial"/>
                <w:lang w:val="en-GB"/>
              </w:rPr>
            </w:pPr>
            <w:r>
              <w:rPr>
                <w:rFonts w:cs="Arial" w:ascii="Arial" w:hAnsi="Arial"/>
                <w:lang w:val="en-GB"/>
              </w:rPr>
            </w:r>
          </w:p>
        </w:tc>
        <w:tc>
          <w:tcPr>
            <w:tcW w:w="4487" w:type="dxa"/>
            <w:tcBorders>
              <w:top w:val="single" w:sz="6" w:space="0" w:color="000000"/>
              <w:left w:val="single" w:sz="6" w:space="0" w:color="000000"/>
              <w:bottom w:val="single" w:sz="6" w:space="0" w:color="000000"/>
              <w:right w:val="single" w:sz="6" w:space="0" w:color="000000"/>
            </w:tcBorders>
          </w:tcPr>
          <w:p>
            <w:pPr>
              <w:pStyle w:val="Normal"/>
              <w:widowControl w:val="false"/>
              <w:jc w:val="both"/>
              <w:rPr>
                <w:rFonts w:ascii="Arial" w:hAnsi="Arial" w:cs="Arial"/>
                <w:lang w:val="en-GB"/>
              </w:rPr>
            </w:pPr>
            <w:r>
              <w:rPr>
                <w:rFonts w:cs="Arial" w:ascii="Arial" w:hAnsi="Arial"/>
                <w:lang w:val="en-GB"/>
              </w:rPr>
              <w:t>Date:</w:t>
            </w:r>
          </w:p>
        </w:tc>
      </w:tr>
      <w:tr>
        <w:trPr>
          <w:trHeight w:val="315" w:hRule="atLeast"/>
        </w:trPr>
        <w:tc>
          <w:tcPr>
            <w:tcW w:w="4512" w:type="dxa"/>
            <w:tcBorders>
              <w:top w:val="single" w:sz="6" w:space="0" w:color="000000"/>
              <w:left w:val="single" w:sz="6" w:space="0" w:color="000000"/>
              <w:bottom w:val="single" w:sz="6" w:space="0" w:color="000000"/>
              <w:right w:val="single" w:sz="6" w:space="0" w:color="000000"/>
            </w:tcBorders>
          </w:tcPr>
          <w:p>
            <w:pPr>
              <w:pStyle w:val="Normal"/>
              <w:widowControl w:val="false"/>
              <w:jc w:val="both"/>
              <w:rPr>
                <w:rFonts w:ascii="Arial" w:hAnsi="Arial" w:cs="Arial"/>
                <w:lang w:val="en-GB"/>
              </w:rPr>
            </w:pPr>
            <w:r>
              <w:rPr>
                <w:rFonts w:cs="Arial" w:ascii="Arial" w:hAnsi="Arial"/>
                <w:lang w:val="en-GB"/>
              </w:rPr>
              <w:t>Tender Package No:</w:t>
            </w:r>
          </w:p>
          <w:p>
            <w:pPr>
              <w:pStyle w:val="Normal"/>
              <w:widowControl w:val="false"/>
              <w:jc w:val="both"/>
              <w:rPr>
                <w:rFonts w:ascii="Arial" w:hAnsi="Arial" w:cs="Arial"/>
                <w:lang w:val="en-GB"/>
              </w:rPr>
            </w:pPr>
            <w:r>
              <w:rPr>
                <w:rFonts w:cs="Arial" w:ascii="Arial" w:hAnsi="Arial"/>
                <w:lang w:val="en-GB"/>
              </w:rPr>
            </w:r>
          </w:p>
        </w:tc>
        <w:tc>
          <w:tcPr>
            <w:tcW w:w="4487" w:type="dxa"/>
            <w:tcBorders>
              <w:top w:val="single" w:sz="6" w:space="0" w:color="000000"/>
              <w:left w:val="single" w:sz="6" w:space="0" w:color="000000"/>
              <w:bottom w:val="single" w:sz="6" w:space="0" w:color="000000"/>
              <w:right w:val="single" w:sz="6" w:space="0" w:color="000000"/>
            </w:tcBorders>
          </w:tcPr>
          <w:p>
            <w:pPr>
              <w:pStyle w:val="Normal"/>
              <w:widowControl w:val="false"/>
              <w:jc w:val="both"/>
              <w:rPr>
                <w:rFonts w:ascii="Arial" w:hAnsi="Arial" w:cs="Arial"/>
                <w:lang w:val="en-GB"/>
              </w:rPr>
            </w:pPr>
            <w:r>
              <w:rPr>
                <w:rFonts w:cs="Arial" w:ascii="Arial" w:hAnsi="Arial"/>
                <w:lang w:val="en-GB"/>
              </w:rPr>
            </w:r>
          </w:p>
        </w:tc>
      </w:tr>
      <w:tr>
        <w:trPr>
          <w:trHeight w:val="315" w:hRule="atLeast"/>
        </w:trPr>
        <w:tc>
          <w:tcPr>
            <w:tcW w:w="4512" w:type="dxa"/>
            <w:tcBorders>
              <w:top w:val="single" w:sz="6" w:space="0" w:color="000000"/>
              <w:left w:val="single" w:sz="6" w:space="0" w:color="000000"/>
              <w:bottom w:val="single" w:sz="6" w:space="0" w:color="000000"/>
              <w:right w:val="single" w:sz="6" w:space="0" w:color="000000"/>
            </w:tcBorders>
          </w:tcPr>
          <w:p>
            <w:pPr>
              <w:pStyle w:val="Normal"/>
              <w:widowControl w:val="false"/>
              <w:jc w:val="both"/>
              <w:rPr>
                <w:rFonts w:ascii="Arial" w:hAnsi="Arial" w:cs="Arial"/>
                <w:lang w:val="en-GB"/>
              </w:rPr>
            </w:pPr>
            <w:r>
              <w:rPr>
                <w:rFonts w:cs="Arial" w:ascii="Arial" w:hAnsi="Arial"/>
                <w:lang w:val="en-GB"/>
              </w:rPr>
              <w:t>Tender Lot No (</w:t>
            </w:r>
            <w:r>
              <w:rPr>
                <w:rFonts w:cs="Arial" w:ascii="Arial" w:hAnsi="Arial"/>
                <w:i/>
                <w:sz w:val="18"/>
                <w:szCs w:val="18"/>
                <w:lang w:val="en-GB"/>
              </w:rPr>
              <w:t>when applicable</w:t>
            </w:r>
            <w:r>
              <w:rPr>
                <w:rFonts w:cs="Arial" w:ascii="Arial" w:hAnsi="Arial"/>
                <w:lang w:val="en-GB"/>
              </w:rPr>
              <w:t>):</w:t>
            </w:r>
          </w:p>
        </w:tc>
        <w:tc>
          <w:tcPr>
            <w:tcW w:w="4487" w:type="dxa"/>
            <w:tcBorders>
              <w:top w:val="single" w:sz="6" w:space="0" w:color="000000"/>
              <w:left w:val="single" w:sz="6" w:space="0" w:color="000000"/>
              <w:bottom w:val="single" w:sz="6" w:space="0" w:color="000000"/>
              <w:right w:val="single" w:sz="6" w:space="0" w:color="000000"/>
            </w:tcBorders>
          </w:tcPr>
          <w:p>
            <w:pPr>
              <w:pStyle w:val="Normal"/>
              <w:widowControl w:val="false"/>
              <w:jc w:val="both"/>
              <w:rPr>
                <w:rFonts w:ascii="Arial" w:hAnsi="Arial" w:cs="Arial"/>
                <w:lang w:val="en-GB"/>
              </w:rPr>
            </w:pPr>
            <w:r>
              <w:rPr>
                <w:rFonts w:cs="Arial" w:ascii="Arial" w:hAnsi="Arial"/>
                <w:lang w:val="en-GB"/>
              </w:rPr>
            </w:r>
          </w:p>
        </w:tc>
      </w:tr>
      <w:tr>
        <w:trPr/>
        <w:tc>
          <w:tcPr>
            <w:tcW w:w="4512" w:type="dxa"/>
            <w:tcBorders>
              <w:top w:val="single" w:sz="6" w:space="0" w:color="000000"/>
              <w:left w:val="single" w:sz="6" w:space="0" w:color="000000"/>
              <w:bottom w:val="single" w:sz="6" w:space="0" w:color="000000"/>
              <w:right w:val="single" w:sz="6" w:space="0" w:color="000000"/>
            </w:tcBorders>
          </w:tcPr>
          <w:p>
            <w:pPr>
              <w:pStyle w:val="Normal"/>
              <w:widowControl w:val="false"/>
              <w:jc w:val="both"/>
              <w:rPr>
                <w:rFonts w:ascii="Arial" w:hAnsi="Arial" w:cs="Arial"/>
                <w:lang w:val="en-GB"/>
              </w:rPr>
            </w:pPr>
            <w:r>
              <w:rPr>
                <w:rFonts w:cs="Arial" w:ascii="Arial" w:hAnsi="Arial"/>
                <w:lang w:val="en-GB"/>
              </w:rPr>
              <w:t>To:</w:t>
            </w:r>
          </w:p>
          <w:p>
            <w:pPr>
              <w:pStyle w:val="Normal"/>
              <w:widowControl w:val="false"/>
              <w:rPr>
                <w:rFonts w:ascii="Arial" w:hAnsi="Arial" w:cs="Arial"/>
                <w:lang w:val="en-GB"/>
              </w:rPr>
            </w:pPr>
            <w:bookmarkStart w:id="803" w:name="_Toc50275650"/>
            <w:r>
              <w:rPr>
                <w:rFonts w:cs="Arial" w:ascii="Arial" w:hAnsi="Arial"/>
                <w:bCs/>
              </w:rPr>
              <w:t>[</w:t>
            </w:r>
            <w:r>
              <w:rPr>
                <w:rFonts w:cs="Arial" w:ascii="Arial" w:hAnsi="Arial"/>
                <w:bCs/>
                <w:sz w:val="18"/>
                <w:szCs w:val="18"/>
              </w:rPr>
              <w:t>Name and address of Procuring Entity</w:t>
            </w:r>
            <w:r>
              <w:rPr>
                <w:rFonts w:cs="Arial" w:ascii="Arial" w:hAnsi="Arial"/>
                <w:lang w:val="en-GB"/>
              </w:rPr>
              <w:t>]</w:t>
            </w:r>
            <w:bookmarkEnd w:id="803"/>
          </w:p>
          <w:p>
            <w:pPr>
              <w:pStyle w:val="Footnote"/>
              <w:widowControl w:val="false"/>
              <w:rPr>
                <w:rFonts w:ascii="Arial" w:hAnsi="Arial" w:cs="Arial"/>
                <w:lang w:val="en-GB"/>
              </w:rPr>
            </w:pPr>
            <w:r>
              <w:rPr>
                <w:rFonts w:cs="Arial" w:ascii="Arial" w:hAnsi="Arial"/>
                <w:lang w:val="en-GB"/>
              </w:rPr>
            </w:r>
          </w:p>
        </w:tc>
        <w:tc>
          <w:tcPr>
            <w:tcW w:w="4487" w:type="dxa"/>
            <w:tcBorders>
              <w:top w:val="single" w:sz="6" w:space="0" w:color="000000"/>
              <w:left w:val="single" w:sz="6" w:space="0" w:color="000000"/>
              <w:bottom w:val="single" w:sz="6" w:space="0" w:color="000000"/>
              <w:right w:val="single" w:sz="6" w:space="0" w:color="000000"/>
            </w:tcBorders>
          </w:tcPr>
          <w:p>
            <w:pPr>
              <w:pStyle w:val="Normal"/>
              <w:widowControl w:val="false"/>
              <w:jc w:val="both"/>
              <w:rPr>
                <w:rFonts w:ascii="Arial" w:hAnsi="Arial" w:cs="Arial"/>
                <w:lang w:val="en-GB"/>
              </w:rPr>
            </w:pPr>
            <w:r>
              <w:rPr>
                <w:rFonts w:cs="Arial" w:ascii="Arial" w:hAnsi="Arial"/>
                <w:lang w:val="en-GB"/>
              </w:rPr>
            </w:r>
          </w:p>
        </w:tc>
      </w:tr>
    </w:tbl>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t>WHEREAS</w:t>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rPr>
      </w:pPr>
      <w:r>
        <w:rPr>
          <w:rFonts w:cs="Arial" w:ascii="Arial" w:hAnsi="Arial"/>
        </w:rPr>
        <w:t xml:space="preserve">We </w:t>
      </w:r>
      <w:r>
        <w:rPr>
          <w:rFonts w:cs="Arial" w:ascii="Arial" w:hAnsi="Arial"/>
          <w:i/>
        </w:rPr>
        <w:t>[insert complete name of Manufacturer],</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who are official manufacturers of</w:t>
      </w:r>
      <w:r>
        <w:rPr>
          <w:rFonts w:cs="Arial" w:ascii="Arial" w:hAnsi="Arial"/>
          <w:i/>
        </w:rPr>
        <w:t>[insert type of goods manufactured],</w:t>
      </w:r>
      <w:r>
        <w:rPr>
          <w:rFonts w:cs="Arial" w:ascii="Arial" w:hAnsi="Arial"/>
        </w:rPr>
        <w:t xml:space="preserve"> having factories at </w:t>
      </w:r>
      <w:r>
        <w:rPr>
          <w:rFonts w:cs="Arial" w:ascii="Arial" w:hAnsi="Arial"/>
          <w:i/>
        </w:rPr>
        <w:t>[insert full address of Manufacturer’s factories]</w:t>
      </w:r>
      <w:r>
        <w:rPr>
          <w:rFonts w:cs="Arial" w:ascii="Arial" w:hAnsi="Arial"/>
        </w:rPr>
        <w:t xml:space="preserve">, do hereby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authorize </w:t>
      </w:r>
      <w:r>
        <w:rPr>
          <w:rFonts w:cs="Arial" w:ascii="Arial" w:hAnsi="Arial"/>
          <w:i/>
        </w:rPr>
        <w:t>[insert complete name of Tenderer]</w:t>
      </w:r>
      <w:r>
        <w:rPr>
          <w:rFonts w:cs="Arial" w:ascii="Arial" w:hAnsi="Arial"/>
        </w:rPr>
        <w:t xml:space="preserve"> to  supply the following Goods, manufactured by </w:t>
      </w:r>
      <w:r>
        <w:rPr>
          <w:rFonts w:cs="Arial" w:ascii="Arial" w:hAnsi="Arial"/>
          <w:iCs/>
        </w:rPr>
        <w:t xml:space="preserve">us </w:t>
      </w:r>
      <w:r>
        <w:rPr>
          <w:rFonts w:cs="Arial" w:ascii="Arial" w:hAnsi="Arial"/>
          <w:i/>
        </w:rPr>
        <w:t>[insert name and or brief description of the Goods]</w:t>
      </w:r>
      <w:r>
        <w:rPr>
          <w:rFonts w:cs="Arial" w:ascii="Arial" w:hAnsi="Arial"/>
        </w:rPr>
        <w:t>.</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We hereby extend our full guarantee and warranty as stated under GCC Clause 31 of the General Conditions of Contract, with respect to the Goods offered by the above Tenderer.</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Signed: </w:t>
      </w:r>
      <w:r>
        <w:rPr>
          <w:rFonts w:cs="Arial" w:ascii="Arial" w:hAnsi="Arial"/>
          <w:i/>
          <w:iCs/>
        </w:rPr>
        <w:t xml:space="preserve">[insert signature(s) of authorized representative(s) of the Manufacturer] </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 xml:space="preserve">Name: </w:t>
      </w:r>
      <w:r>
        <w:rPr>
          <w:rFonts w:cs="Arial" w:ascii="Arial" w:hAnsi="Arial"/>
          <w:i/>
          <w:iCs/>
        </w:rPr>
        <w:t>[insert complete name(s) of authorized representative(s) of the Manufacturer]</w:t>
      </w:r>
      <w:r>
        <w:rPr>
          <w:rFonts w:cs="Arial" w:ascii="Arial" w:hAnsi="Arial"/>
        </w:rPr>
        <w:tab/>
      </w:r>
    </w:p>
    <w:p>
      <w:pPr>
        <w:pStyle w:val="Normal"/>
        <w:rPr>
          <w:rFonts w:ascii="Arial" w:hAnsi="Arial" w:cs="Arial"/>
          <w:i/>
          <w:i/>
        </w:rPr>
      </w:pPr>
      <w:r>
        <w:rPr>
          <w:rFonts w:cs="Arial" w:ascii="Arial" w:hAnsi="Arial"/>
        </w:rPr>
        <w:t xml:space="preserve">Address: </w:t>
      </w:r>
      <w:r>
        <w:rPr>
          <w:rFonts w:cs="Arial" w:ascii="Arial" w:hAnsi="Arial"/>
          <w:i/>
        </w:rPr>
        <w:t>[insert full address including Fax and e-mail]</w:t>
      </w:r>
    </w:p>
    <w:p>
      <w:pPr>
        <w:pStyle w:val="Normal"/>
        <w:rPr>
          <w:rFonts w:ascii="Arial" w:hAnsi="Arial" w:cs="Arial"/>
        </w:rPr>
      </w:pPr>
      <w:r>
        <w:rPr>
          <w:rFonts w:cs="Arial" w:ascii="Arial" w:hAnsi="Arial"/>
        </w:rPr>
        <w:t xml:space="preserve">Title: </w:t>
      </w:r>
      <w:r>
        <w:rPr>
          <w:rFonts w:cs="Arial" w:ascii="Arial" w:hAnsi="Arial"/>
          <w:i/>
          <w:iCs/>
        </w:rPr>
        <w:t>[insert title]</w:t>
      </w:r>
    </w:p>
    <w:p>
      <w:pPr>
        <w:pStyle w:val="Normal"/>
        <w:rPr>
          <w:rFonts w:ascii="Arial" w:hAnsi="Arial" w:cs="Arial"/>
          <w:sz w:val="18"/>
          <w:lang w:val="en-GB"/>
        </w:rPr>
      </w:pPr>
      <w:r>
        <w:rPr>
          <w:rFonts w:cs="Arial" w:ascii="Arial" w:hAnsi="Arial"/>
          <w:sz w:val="18"/>
          <w:lang w:val="en-GB"/>
        </w:rPr>
      </w:r>
    </w:p>
    <w:p>
      <w:pPr>
        <w:pStyle w:val="Normal"/>
        <w:rPr>
          <w:rFonts w:ascii="Arial" w:hAnsi="Arial" w:cs="Arial"/>
          <w:sz w:val="18"/>
          <w:lang w:val="en-GB"/>
        </w:rPr>
      </w:pPr>
      <w:r>
        <w:rPr>
          <w:rFonts w:cs="Arial" w:ascii="Arial" w:hAnsi="Arial"/>
          <w:sz w:val="18"/>
          <w:lang w:val="en-GB"/>
        </w:rPr>
      </w:r>
    </w:p>
    <w:p>
      <w:pPr>
        <w:pStyle w:val="Normal"/>
        <w:rPr>
          <w:i/>
          <w:i/>
        </w:rPr>
      </w:pPr>
      <w:r>
        <w:rPr>
          <w:i/>
        </w:rPr>
      </w:r>
    </w:p>
    <w:p>
      <w:pPr>
        <w:pStyle w:val="Normal"/>
        <w:rPr>
          <w:rFonts w:ascii="Arial" w:hAnsi="Arial" w:cs="Arial"/>
          <w:sz w:val="18"/>
          <w:lang w:val="en-GB"/>
        </w:rPr>
      </w:pPr>
      <w:r>
        <w:rPr>
          <w:rFonts w:cs="Arial" w:ascii="Arial" w:hAnsi="Arial"/>
          <w:sz w:val="18"/>
          <w:lang w:val="en-GB"/>
        </w:rPr>
      </w:r>
    </w:p>
    <w:p>
      <w:pPr>
        <w:pStyle w:val="Normal"/>
        <w:rPr>
          <w:rFonts w:ascii="Arial" w:hAnsi="Arial" w:cs="Arial"/>
        </w:rPr>
      </w:pPr>
      <w:r>
        <w:rPr>
          <w:rFonts w:cs="Arial" w:ascii="Arial" w:hAnsi="Arial"/>
        </w:rPr>
        <w:t xml:space="preserve">Date: </w:t>
      </w:r>
      <w:r>
        <w:rPr>
          <w:rFonts w:cs="Arial" w:ascii="Arial" w:hAnsi="Arial"/>
          <w:i/>
          <w:iCs/>
        </w:rPr>
        <w:t>[insert date of signing]</w:t>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r>
    </w:p>
    <w:p>
      <w:pPr>
        <w:pStyle w:val="Heading2"/>
        <w:rPr>
          <w:rFonts w:ascii="Arial" w:hAnsi="Arial"/>
          <w:i/>
          <w:i/>
          <w:iCs w:val="false"/>
          <w:lang w:val="en-GB"/>
        </w:rPr>
      </w:pPr>
      <w:bookmarkStart w:id="804" w:name="_Toc50275651"/>
      <w:bookmarkStart w:id="805" w:name="_Toc421454332"/>
      <w:r>
        <w:rPr>
          <w:rFonts w:ascii="Arial" w:hAnsi="Arial"/>
          <w:lang w:val="en-GB"/>
        </w:rPr>
        <w:t>Bank Guarantee for Tender Security (Form PG3 – 7</w:t>
      </w:r>
      <w:r>
        <w:rPr>
          <w:rFonts w:ascii="Arial" w:hAnsi="Arial"/>
          <w:i/>
          <w:iCs w:val="false"/>
          <w:lang w:val="en-GB"/>
        </w:rPr>
        <w:t>)</w:t>
      </w:r>
      <w:bookmarkEnd w:id="804"/>
      <w:bookmarkEnd w:id="805"/>
    </w:p>
    <w:p>
      <w:pPr>
        <w:pStyle w:val="Normal"/>
        <w:jc w:val="center"/>
        <w:rPr>
          <w:rFonts w:ascii="Arial" w:hAnsi="Arial" w:cs="Arial"/>
          <w:i/>
          <w:i/>
          <w:iCs/>
          <w:sz w:val="22"/>
          <w:szCs w:val="22"/>
          <w:lang w:val="en-GB"/>
        </w:rPr>
      </w:pPr>
      <w:r>
        <w:rPr>
          <w:rFonts w:cs="Arial" w:ascii="Arial" w:hAnsi="Arial"/>
          <w:i/>
          <w:iCs/>
          <w:sz w:val="22"/>
          <w:szCs w:val="22"/>
          <w:lang w:val="en-GB"/>
        </w:rPr>
        <w:t>[this is the format for the Tender Security to be issued by a scheduled Bank</w:t>
      </w:r>
    </w:p>
    <w:p>
      <w:pPr>
        <w:pStyle w:val="Normal"/>
        <w:jc w:val="center"/>
        <w:rPr>
          <w:rFonts w:ascii="Arial" w:hAnsi="Arial" w:cs="Arial"/>
          <w:sz w:val="22"/>
          <w:szCs w:val="22"/>
          <w:lang w:val="en-GB"/>
        </w:rPr>
      </w:pPr>
      <w:r>
        <w:rPr>
          <w:rFonts w:cs="Arial" w:ascii="Arial" w:hAnsi="Arial"/>
          <w:i/>
          <w:iCs/>
          <w:sz w:val="22"/>
          <w:szCs w:val="22"/>
          <w:lang w:val="en-GB"/>
        </w:rPr>
        <w:t xml:space="preserve"> </w:t>
      </w:r>
      <w:r>
        <w:rPr>
          <w:rFonts w:cs="Arial" w:ascii="Arial" w:hAnsi="Arial"/>
          <w:i/>
          <w:iCs/>
          <w:sz w:val="22"/>
          <w:szCs w:val="22"/>
          <w:lang w:val="en-GB"/>
        </w:rPr>
        <w:t>of Bangladesh as stated under ITT Clause 31 and 32]</w:t>
      </w:r>
    </w:p>
    <w:p>
      <w:pPr>
        <w:pStyle w:val="Normal"/>
        <w:rPr>
          <w:rFonts w:ascii="Arial" w:hAnsi="Arial" w:cs="Arial"/>
          <w:lang w:val="en-GB"/>
        </w:rPr>
      </w:pPr>
      <w:r>
        <w:rPr>
          <w:rFonts w:cs="Arial" w:ascii="Arial" w:hAnsi="Arial"/>
          <w:lang w:val="en-GB"/>
        </w:rPr>
      </w:r>
    </w:p>
    <w:tbl>
      <w:tblPr>
        <w:tblW w:w="9000"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4512"/>
        <w:gridCol w:w="4487"/>
      </w:tblGrid>
      <w:tr>
        <w:trPr/>
        <w:tc>
          <w:tcPr>
            <w:tcW w:w="4512" w:type="dxa"/>
            <w:tcBorders/>
          </w:tcPr>
          <w:p>
            <w:pPr>
              <w:pStyle w:val="Normal"/>
              <w:widowControl w:val="false"/>
              <w:jc w:val="both"/>
              <w:rPr>
                <w:rFonts w:ascii="Arial" w:hAnsi="Arial" w:cs="Arial"/>
                <w:sz w:val="20"/>
                <w:szCs w:val="20"/>
                <w:lang w:val="en-GB"/>
              </w:rPr>
            </w:pPr>
            <w:r>
              <w:rPr>
                <w:rFonts w:cs="Arial" w:ascii="Arial" w:hAnsi="Arial"/>
                <w:sz w:val="20"/>
                <w:szCs w:val="20"/>
                <w:lang w:val="en-GB"/>
              </w:rPr>
              <w:t>Invitation for Tender No:</w:t>
            </w:r>
          </w:p>
          <w:p>
            <w:pPr>
              <w:pStyle w:val="Normal"/>
              <w:widowControl w:val="false"/>
              <w:jc w:val="both"/>
              <w:rPr>
                <w:rFonts w:ascii="Arial" w:hAnsi="Arial" w:cs="Arial"/>
                <w:sz w:val="20"/>
                <w:szCs w:val="20"/>
                <w:lang w:val="en-GB"/>
              </w:rPr>
            </w:pPr>
            <w:r>
              <w:rPr>
                <w:rFonts w:cs="Arial" w:ascii="Arial" w:hAnsi="Arial"/>
                <w:sz w:val="20"/>
                <w:szCs w:val="20"/>
                <w:lang w:val="en-GB"/>
              </w:rPr>
            </w:r>
          </w:p>
        </w:tc>
        <w:tc>
          <w:tcPr>
            <w:tcW w:w="4487" w:type="dxa"/>
            <w:tcBorders/>
          </w:tcPr>
          <w:p>
            <w:pPr>
              <w:pStyle w:val="Normal"/>
              <w:widowControl w:val="false"/>
              <w:jc w:val="both"/>
              <w:rPr>
                <w:rFonts w:ascii="Arial" w:hAnsi="Arial" w:cs="Arial"/>
                <w:sz w:val="20"/>
                <w:szCs w:val="20"/>
                <w:lang w:val="en-GB"/>
              </w:rPr>
            </w:pPr>
            <w:r>
              <w:rPr>
                <w:rFonts w:cs="Arial" w:ascii="Arial" w:hAnsi="Arial"/>
                <w:sz w:val="20"/>
                <w:szCs w:val="20"/>
                <w:lang w:val="en-GB"/>
              </w:rPr>
              <w:t>Date:</w:t>
            </w:r>
          </w:p>
        </w:tc>
      </w:tr>
      <w:tr>
        <w:trPr/>
        <w:tc>
          <w:tcPr>
            <w:tcW w:w="4512" w:type="dxa"/>
            <w:tcBorders/>
          </w:tcPr>
          <w:p>
            <w:pPr>
              <w:pStyle w:val="Normal"/>
              <w:widowControl w:val="false"/>
              <w:jc w:val="both"/>
              <w:rPr>
                <w:rFonts w:ascii="Arial" w:hAnsi="Arial" w:cs="Arial"/>
                <w:sz w:val="20"/>
                <w:szCs w:val="20"/>
                <w:lang w:val="en-GB"/>
              </w:rPr>
            </w:pPr>
            <w:r>
              <w:rPr>
                <w:rFonts w:cs="Arial" w:ascii="Arial" w:hAnsi="Arial"/>
                <w:sz w:val="20"/>
                <w:szCs w:val="20"/>
                <w:lang w:val="en-GB"/>
              </w:rPr>
              <w:t>Tender Package No:</w:t>
            </w:r>
          </w:p>
          <w:p>
            <w:pPr>
              <w:pStyle w:val="Normal"/>
              <w:widowControl w:val="false"/>
              <w:jc w:val="both"/>
              <w:rPr>
                <w:rFonts w:ascii="Arial" w:hAnsi="Arial" w:cs="Arial"/>
                <w:sz w:val="20"/>
                <w:szCs w:val="20"/>
                <w:lang w:val="en-GB"/>
              </w:rPr>
            </w:pPr>
            <w:r>
              <w:rPr>
                <w:rFonts w:cs="Arial" w:ascii="Arial" w:hAnsi="Arial"/>
                <w:sz w:val="20"/>
                <w:szCs w:val="20"/>
                <w:lang w:val="en-GB"/>
              </w:rPr>
            </w:r>
          </w:p>
        </w:tc>
        <w:tc>
          <w:tcPr>
            <w:tcW w:w="4487" w:type="dxa"/>
            <w:tcBorders/>
          </w:tcPr>
          <w:p>
            <w:pPr>
              <w:pStyle w:val="Normal"/>
              <w:widowControl w:val="false"/>
              <w:jc w:val="both"/>
              <w:rPr>
                <w:rFonts w:ascii="Arial" w:hAnsi="Arial" w:cs="Arial"/>
                <w:sz w:val="20"/>
                <w:szCs w:val="20"/>
                <w:lang w:val="en-GB"/>
              </w:rPr>
            </w:pPr>
            <w:r>
              <w:rPr>
                <w:rFonts w:cs="Arial" w:ascii="Arial" w:hAnsi="Arial"/>
                <w:sz w:val="20"/>
                <w:szCs w:val="20"/>
                <w:lang w:val="en-GB"/>
              </w:rPr>
            </w:r>
          </w:p>
        </w:tc>
      </w:tr>
      <w:tr>
        <w:trPr/>
        <w:tc>
          <w:tcPr>
            <w:tcW w:w="4512" w:type="dxa"/>
            <w:tcBorders/>
          </w:tcPr>
          <w:p>
            <w:pPr>
              <w:pStyle w:val="Normal"/>
              <w:widowControl w:val="false"/>
              <w:jc w:val="both"/>
              <w:rPr>
                <w:rFonts w:ascii="Arial" w:hAnsi="Arial" w:cs="Arial"/>
                <w:sz w:val="20"/>
                <w:szCs w:val="20"/>
                <w:lang w:val="en-GB"/>
              </w:rPr>
            </w:pPr>
            <w:r>
              <w:rPr>
                <w:rFonts w:cs="Arial" w:ascii="Arial" w:hAnsi="Arial"/>
                <w:sz w:val="20"/>
                <w:szCs w:val="20"/>
                <w:lang w:val="en-GB"/>
              </w:rPr>
              <w:t>Tender Lot No:</w:t>
            </w:r>
          </w:p>
        </w:tc>
        <w:tc>
          <w:tcPr>
            <w:tcW w:w="4487" w:type="dxa"/>
            <w:tcBorders/>
          </w:tcPr>
          <w:p>
            <w:pPr>
              <w:pStyle w:val="Normal"/>
              <w:widowControl w:val="false"/>
              <w:jc w:val="both"/>
              <w:rPr>
                <w:rFonts w:ascii="Arial" w:hAnsi="Arial" w:cs="Arial"/>
                <w:sz w:val="20"/>
                <w:szCs w:val="20"/>
                <w:lang w:val="en-GB"/>
              </w:rPr>
            </w:pPr>
            <w:r>
              <w:rPr>
                <w:rFonts w:cs="Arial" w:ascii="Arial" w:hAnsi="Arial"/>
                <w:sz w:val="20"/>
                <w:szCs w:val="20"/>
                <w:lang w:val="en-GB"/>
              </w:rPr>
            </w:r>
          </w:p>
        </w:tc>
      </w:tr>
      <w:tr>
        <w:trPr/>
        <w:tc>
          <w:tcPr>
            <w:tcW w:w="4512" w:type="dxa"/>
            <w:tcBorders/>
          </w:tcPr>
          <w:p>
            <w:pPr>
              <w:pStyle w:val="Normal"/>
              <w:widowControl w:val="false"/>
              <w:jc w:val="both"/>
              <w:rPr>
                <w:rFonts w:ascii="Arial" w:hAnsi="Arial" w:cs="Arial"/>
                <w:sz w:val="20"/>
                <w:szCs w:val="20"/>
                <w:lang w:val="en-GB"/>
              </w:rPr>
            </w:pPr>
            <w:r>
              <w:rPr>
                <w:rFonts w:cs="Arial" w:ascii="Arial" w:hAnsi="Arial"/>
                <w:sz w:val="20"/>
                <w:szCs w:val="20"/>
                <w:lang w:val="en-GB"/>
              </w:rPr>
              <w:t>To:</w:t>
            </w:r>
          </w:p>
          <w:p>
            <w:pPr>
              <w:pStyle w:val="Normal"/>
              <w:widowControl w:val="false"/>
              <w:rPr>
                <w:rFonts w:ascii="Arial" w:hAnsi="Arial" w:cs="Arial"/>
                <w:sz w:val="20"/>
                <w:szCs w:val="20"/>
                <w:lang w:val="en-GB"/>
              </w:rPr>
            </w:pPr>
            <w:bookmarkStart w:id="806" w:name="_Toc50275652"/>
            <w:r>
              <w:rPr>
                <w:rFonts w:cs="Arial" w:ascii="Arial" w:hAnsi="Arial"/>
                <w:bCs/>
                <w:sz w:val="20"/>
                <w:szCs w:val="20"/>
              </w:rPr>
              <w:t>[Name and address of Procuring Entity</w:t>
            </w:r>
            <w:r>
              <w:rPr>
                <w:rFonts w:cs="Arial" w:ascii="Arial" w:hAnsi="Arial"/>
                <w:sz w:val="20"/>
                <w:szCs w:val="20"/>
                <w:lang w:val="en-GB"/>
              </w:rPr>
              <w:t>]</w:t>
            </w:r>
            <w:bookmarkEnd w:id="806"/>
          </w:p>
          <w:p>
            <w:pPr>
              <w:pStyle w:val="Footnote"/>
              <w:widowControl w:val="false"/>
              <w:rPr>
                <w:rFonts w:ascii="Arial" w:hAnsi="Arial" w:cs="Arial"/>
                <w:lang w:val="en-GB"/>
              </w:rPr>
            </w:pPr>
            <w:r>
              <w:rPr>
                <w:rFonts w:cs="Arial" w:ascii="Arial" w:hAnsi="Arial"/>
                <w:lang w:val="en-GB"/>
              </w:rPr>
            </w:r>
          </w:p>
        </w:tc>
        <w:tc>
          <w:tcPr>
            <w:tcW w:w="4487" w:type="dxa"/>
            <w:tcBorders/>
          </w:tcPr>
          <w:p>
            <w:pPr>
              <w:pStyle w:val="Normal"/>
              <w:widowControl w:val="false"/>
              <w:jc w:val="both"/>
              <w:rPr>
                <w:rFonts w:ascii="Arial" w:hAnsi="Arial" w:cs="Arial"/>
                <w:sz w:val="20"/>
                <w:szCs w:val="20"/>
                <w:lang w:val="en-GB"/>
              </w:rPr>
            </w:pPr>
            <w:r>
              <w:rPr>
                <w:rFonts w:cs="Arial" w:ascii="Arial" w:hAnsi="Arial"/>
                <w:sz w:val="20"/>
                <w:szCs w:val="20"/>
                <w:lang w:val="en-GB"/>
              </w:rPr>
            </w:r>
          </w:p>
        </w:tc>
      </w:tr>
    </w:tbl>
    <w:p>
      <w:pPr>
        <w:pStyle w:val="Normal"/>
        <w:jc w:val="both"/>
        <w:rPr>
          <w:rFonts w:ascii="Arial" w:hAnsi="Arial" w:cs="Arial"/>
          <w:lang w:val="en-GB"/>
        </w:rPr>
      </w:pPr>
      <w:r>
        <w:rPr>
          <w:rFonts w:cs="Arial" w:ascii="Arial" w:hAnsi="Arial"/>
          <w:lang w:val="en-GB"/>
        </w:rPr>
      </w:r>
    </w:p>
    <w:p>
      <w:pPr>
        <w:pStyle w:val="Normal"/>
        <w:jc w:val="center"/>
        <w:rPr>
          <w:rFonts w:ascii="Arial" w:hAnsi="Arial" w:cs="Arial"/>
          <w:sz w:val="18"/>
          <w:szCs w:val="18"/>
          <w:lang w:val="en-GB"/>
        </w:rPr>
      </w:pPr>
      <w:r>
        <w:rPr>
          <w:rFonts w:cs="Arial" w:ascii="Arial" w:hAnsi="Arial"/>
          <w:b/>
          <w:bCs/>
          <w:lang w:val="en-GB"/>
        </w:rPr>
        <w:t>TENDER GUARANTEE No:</w:t>
      </w:r>
      <w:r>
        <w:rPr>
          <w:rFonts w:cs="Arial" w:ascii="Arial" w:hAnsi="Arial"/>
          <w:bCs/>
          <w:sz w:val="18"/>
          <w:szCs w:val="18"/>
          <w:lang w:val="en-GB"/>
        </w:rPr>
        <w:t>[isert number]</w:t>
      </w:r>
    </w:p>
    <w:p>
      <w:pPr>
        <w:pStyle w:val="Normal"/>
        <w:jc w:val="both"/>
        <w:rPr>
          <w:rFonts w:ascii="Arial" w:hAnsi="Arial" w:cs="Arial"/>
          <w:sz w:val="20"/>
          <w:szCs w:val="20"/>
          <w:lang w:val="en-GB"/>
        </w:rPr>
      </w:pPr>
      <w:r>
        <w:rPr>
          <w:rFonts w:cs="Arial" w:ascii="Arial" w:hAnsi="Arial"/>
          <w:sz w:val="20"/>
          <w:szCs w:val="20"/>
          <w:lang w:val="en-GB"/>
        </w:rPr>
        <w:t xml:space="preserve">We have been informed that </w:t>
      </w:r>
      <w:r>
        <w:rPr>
          <w:rFonts w:cs="Arial" w:ascii="Arial" w:hAnsi="Arial"/>
          <w:i/>
          <w:iCs/>
          <w:sz w:val="20"/>
          <w:szCs w:val="20"/>
          <w:lang w:val="en-GB"/>
        </w:rPr>
        <w:t>[insert name of Tenderer]</w:t>
      </w:r>
      <w:r>
        <w:rPr>
          <w:rFonts w:cs="Arial" w:ascii="Arial" w:hAnsi="Arial"/>
          <w:sz w:val="20"/>
          <w:szCs w:val="20"/>
          <w:lang w:val="en-GB"/>
        </w:rPr>
        <w:t xml:space="preserve"> (hereinafter called “the Tenderer”) intends to submit to you its Tender dated </w:t>
      </w:r>
      <w:r>
        <w:rPr>
          <w:rFonts w:cs="Arial" w:ascii="Arial" w:hAnsi="Arial"/>
          <w:i/>
          <w:iCs/>
          <w:sz w:val="20"/>
          <w:szCs w:val="20"/>
          <w:lang w:val="en-GB"/>
        </w:rPr>
        <w:t>[insert date of Tender]</w:t>
      </w:r>
      <w:r>
        <w:rPr>
          <w:rFonts w:cs="Arial" w:ascii="Arial" w:hAnsi="Arial"/>
          <w:sz w:val="20"/>
          <w:szCs w:val="20"/>
          <w:lang w:val="en-GB"/>
        </w:rPr>
        <w:t xml:space="preserve"> (hereinafter called “the Tender”) for the supply of </w:t>
      </w:r>
      <w:r>
        <w:rPr>
          <w:rFonts w:cs="Arial" w:ascii="Arial" w:hAnsi="Arial"/>
          <w:i/>
          <w:iCs/>
          <w:sz w:val="20"/>
          <w:szCs w:val="20"/>
          <w:lang w:val="en-GB"/>
        </w:rPr>
        <w:t>[description of goods and related services]</w:t>
      </w:r>
      <w:r>
        <w:rPr>
          <w:rFonts w:cs="Arial" w:ascii="Arial" w:hAnsi="Arial"/>
          <w:sz w:val="20"/>
          <w:szCs w:val="20"/>
          <w:lang w:val="en-GB"/>
        </w:rPr>
        <w:t xml:space="preserve"> under the above Invitation for Tenders (hereinafter called “the IFT”).</w:t>
      </w:r>
    </w:p>
    <w:p>
      <w:pPr>
        <w:pStyle w:val="Normal"/>
        <w:jc w:val="both"/>
        <w:rPr>
          <w:rFonts w:ascii="Arial" w:hAnsi="Arial" w:cs="Arial"/>
          <w:sz w:val="20"/>
          <w:szCs w:val="20"/>
          <w:lang w:val="en-GB"/>
        </w:rPr>
      </w:pPr>
      <w:r>
        <w:rPr>
          <w:rFonts w:cs="Arial" w:ascii="Arial" w:hAnsi="Arial"/>
          <w:sz w:val="20"/>
          <w:szCs w:val="20"/>
          <w:lang w:val="en-GB"/>
        </w:rPr>
        <w:t>Furthermore, we understand that, according to your conditions, Tenders must be supported by a Bank Guarantee for Tender Security.</w:t>
      </w:r>
    </w:p>
    <w:p>
      <w:pPr>
        <w:pStyle w:val="Normal"/>
        <w:jc w:val="both"/>
        <w:rPr>
          <w:rFonts w:ascii="Arial" w:hAnsi="Arial" w:cs="Arial"/>
          <w:sz w:val="20"/>
          <w:szCs w:val="20"/>
          <w:lang w:val="en-GB"/>
        </w:rPr>
      </w:pPr>
      <w:r>
        <w:rPr>
          <w:rFonts w:cs="Arial" w:ascii="Arial" w:hAnsi="Arial"/>
          <w:sz w:val="20"/>
          <w:szCs w:val="20"/>
          <w:lang w:val="en-GB"/>
        </w:rPr>
        <w:t xml:space="preserve">At the request of the Tenderer, we </w:t>
      </w:r>
      <w:r>
        <w:rPr>
          <w:rFonts w:cs="Arial" w:ascii="Arial" w:hAnsi="Arial"/>
          <w:i/>
          <w:iCs/>
          <w:sz w:val="20"/>
          <w:szCs w:val="20"/>
          <w:lang w:val="en-GB"/>
        </w:rPr>
        <w:t>[insert name of Bank]</w:t>
      </w:r>
      <w:r>
        <w:rPr>
          <w:rFonts w:cs="Arial" w:ascii="Arial" w:hAnsi="Arial"/>
          <w:sz w:val="20"/>
          <w:szCs w:val="20"/>
          <w:lang w:val="en-GB"/>
        </w:rPr>
        <w:t xml:space="preserve"> hereby irrevocably unconditionally  undertake to pay you, without cavil or argument, any sum or sums not exceeding in total an amount of Tk </w:t>
      </w:r>
      <w:r>
        <w:rPr>
          <w:rFonts w:cs="Arial" w:ascii="Arial" w:hAnsi="Arial"/>
          <w:i/>
          <w:iCs/>
          <w:sz w:val="20"/>
          <w:szCs w:val="20"/>
          <w:lang w:val="en-GB"/>
        </w:rPr>
        <w:t>[insert amount in figures and in words]</w:t>
      </w:r>
      <w:r>
        <w:rPr>
          <w:rFonts w:cs="Arial" w:ascii="Arial" w:hAnsi="Arial"/>
          <w:sz w:val="20"/>
          <w:szCs w:val="20"/>
          <w:lang w:val="en-GB"/>
        </w:rPr>
        <w:t xml:space="preserve"> upon receipt by us of your first written demand accompanied by a written statement that the Tenderer is in breach of its obligation(s) under the Tender conditions, because the Tenderer:</w:t>
      </w:r>
    </w:p>
    <w:p>
      <w:pPr>
        <w:pStyle w:val="Normal"/>
        <w:jc w:val="both"/>
        <w:rPr>
          <w:rFonts w:ascii="Arial" w:hAnsi="Arial" w:cs="Arial"/>
          <w:sz w:val="20"/>
          <w:szCs w:val="20"/>
          <w:lang w:val="en-GB"/>
        </w:rPr>
      </w:pPr>
      <w:r>
        <w:rPr>
          <w:rFonts w:cs="Arial" w:ascii="Arial" w:hAnsi="Arial"/>
          <w:sz w:val="20"/>
          <w:szCs w:val="20"/>
          <w:lang w:val="en-GB"/>
        </w:rPr>
      </w:r>
    </w:p>
    <w:p>
      <w:pPr>
        <w:pStyle w:val="Normal"/>
        <w:numPr>
          <w:ilvl w:val="0"/>
          <w:numId w:val="54"/>
        </w:numPr>
        <w:jc w:val="both"/>
        <w:rPr>
          <w:rFonts w:ascii="Arial" w:hAnsi="Arial" w:cs="Arial"/>
          <w:sz w:val="20"/>
          <w:szCs w:val="20"/>
          <w:lang w:val="en-GB"/>
        </w:rPr>
      </w:pPr>
      <w:r>
        <w:rPr>
          <w:rFonts w:cs="Arial" w:ascii="Arial" w:hAnsi="Arial"/>
          <w:sz w:val="20"/>
          <w:szCs w:val="20"/>
          <w:lang w:val="en-GB"/>
        </w:rPr>
        <w:t>has withdrawn its Tender after opening of Tenders but within the validity of the  Tender Security ; or</w:t>
      </w:r>
    </w:p>
    <w:p>
      <w:pPr>
        <w:pStyle w:val="Normal"/>
        <w:numPr>
          <w:ilvl w:val="0"/>
          <w:numId w:val="54"/>
        </w:numPr>
        <w:jc w:val="both"/>
        <w:rPr>
          <w:rFonts w:ascii="Arial" w:hAnsi="Arial" w:cs="Arial"/>
          <w:sz w:val="20"/>
          <w:szCs w:val="20"/>
          <w:lang w:val="en-GB"/>
        </w:rPr>
      </w:pPr>
      <w:r>
        <w:rPr>
          <w:rFonts w:cs="Arial" w:ascii="Arial" w:hAnsi="Arial"/>
          <w:sz w:val="20"/>
          <w:szCs w:val="20"/>
          <w:lang w:val="en-GB"/>
        </w:rPr>
        <w:t xml:space="preserve">refused to accept the Notification of Award (NOA) within the period as stated under Instructions to Tenderers (ITT) ; or  </w:t>
      </w:r>
    </w:p>
    <w:p>
      <w:pPr>
        <w:pStyle w:val="Normal"/>
        <w:numPr>
          <w:ilvl w:val="0"/>
          <w:numId w:val="54"/>
        </w:numPr>
        <w:jc w:val="both"/>
        <w:rPr>
          <w:rFonts w:ascii="Arial" w:hAnsi="Arial" w:cs="Arial"/>
          <w:sz w:val="20"/>
          <w:szCs w:val="20"/>
          <w:lang w:val="en-GB"/>
        </w:rPr>
      </w:pPr>
      <w:r>
        <w:rPr>
          <w:rFonts w:cs="Arial" w:ascii="Arial" w:hAnsi="Arial"/>
          <w:sz w:val="20"/>
          <w:szCs w:val="20"/>
          <w:lang w:val="en-GB"/>
        </w:rPr>
        <w:t>failed to furnish Performance Security within the period as stipulated in the NOA; or</w:t>
      </w:r>
    </w:p>
    <w:p>
      <w:pPr>
        <w:pStyle w:val="Normal"/>
        <w:numPr>
          <w:ilvl w:val="0"/>
          <w:numId w:val="54"/>
        </w:numPr>
        <w:jc w:val="both"/>
        <w:rPr>
          <w:rFonts w:ascii="Arial" w:hAnsi="Arial" w:cs="Arial"/>
          <w:sz w:val="20"/>
          <w:szCs w:val="20"/>
          <w:lang w:val="en-GB"/>
        </w:rPr>
      </w:pPr>
      <w:r>
        <w:rPr>
          <w:rFonts w:cs="Arial" w:ascii="Arial" w:hAnsi="Arial"/>
          <w:sz w:val="20"/>
          <w:szCs w:val="20"/>
          <w:lang w:val="en-GB"/>
        </w:rPr>
        <w:t>refused to sign the Contract Agreement by the time specified in the NOA; or</w:t>
      </w:r>
    </w:p>
    <w:p>
      <w:pPr>
        <w:pStyle w:val="Normal"/>
        <w:numPr>
          <w:ilvl w:val="0"/>
          <w:numId w:val="54"/>
        </w:numPr>
        <w:jc w:val="both"/>
        <w:rPr>
          <w:rFonts w:ascii="Arial" w:hAnsi="Arial" w:cs="Arial"/>
          <w:sz w:val="20"/>
          <w:szCs w:val="20"/>
          <w:lang w:val="en-GB"/>
        </w:rPr>
      </w:pPr>
      <w:r>
        <w:rPr>
          <w:rFonts w:cs="Arial" w:ascii="Arial" w:hAnsi="Arial"/>
          <w:sz w:val="20"/>
          <w:szCs w:val="20"/>
          <w:lang w:val="en-GB"/>
        </w:rPr>
        <w:t>did not accept the correction of the Tender price following the correction of the arithmetic errors in accordance with the ITT.</w:t>
      </w:r>
    </w:p>
    <w:p>
      <w:pPr>
        <w:pStyle w:val="Normal"/>
        <w:jc w:val="both"/>
        <w:rPr>
          <w:rFonts w:ascii="Arial" w:hAnsi="Arial" w:cs="Arial"/>
          <w:sz w:val="20"/>
          <w:szCs w:val="20"/>
          <w:lang w:val="en-GB"/>
        </w:rPr>
      </w:pPr>
      <w:r>
        <w:rPr>
          <w:rFonts w:cs="Arial" w:ascii="Arial" w:hAnsi="Arial"/>
          <w:sz w:val="20"/>
          <w:szCs w:val="20"/>
          <w:lang w:val="en-GB"/>
        </w:rPr>
        <w:t>This guarantee will expire:</w:t>
      </w:r>
    </w:p>
    <w:p>
      <w:pPr>
        <w:pStyle w:val="Normal"/>
        <w:jc w:val="both"/>
        <w:rPr>
          <w:rFonts w:ascii="Arial" w:hAnsi="Arial" w:cs="Arial"/>
          <w:sz w:val="20"/>
          <w:szCs w:val="20"/>
          <w:lang w:val="en-GB"/>
        </w:rPr>
      </w:pPr>
      <w:r>
        <w:rPr>
          <w:rFonts w:cs="Arial" w:ascii="Arial" w:hAnsi="Arial"/>
          <w:sz w:val="20"/>
          <w:szCs w:val="20"/>
          <w:lang w:val="en-GB"/>
        </w:rPr>
      </w:r>
    </w:p>
    <w:p>
      <w:pPr>
        <w:pStyle w:val="Normal"/>
        <w:numPr>
          <w:ilvl w:val="0"/>
          <w:numId w:val="4"/>
        </w:numPr>
        <w:jc w:val="both"/>
        <w:rPr>
          <w:rFonts w:ascii="Arial" w:hAnsi="Arial" w:cs="Arial"/>
          <w:sz w:val="20"/>
          <w:szCs w:val="20"/>
          <w:lang w:val="en-GB"/>
        </w:rPr>
      </w:pPr>
      <w:r>
        <w:rPr>
          <w:rFonts w:cs="Arial" w:ascii="Arial" w:hAnsi="Arial"/>
          <w:sz w:val="20"/>
          <w:szCs w:val="20"/>
          <w:lang w:val="en-GB"/>
        </w:rPr>
        <w:t>if the Tenderer is the successful Tenderer, upon our receipt of a copies of the contract signed by the Tenderer and the Performance Security  issued to you in accordance with the  ITT; or</w:t>
      </w:r>
    </w:p>
    <w:p>
      <w:pPr>
        <w:pStyle w:val="Normal"/>
        <w:ind w:left="360" w:hanging="0"/>
        <w:jc w:val="both"/>
        <w:rPr>
          <w:rFonts w:ascii="Arial" w:hAnsi="Arial" w:cs="Arial"/>
          <w:sz w:val="20"/>
          <w:szCs w:val="20"/>
          <w:lang w:val="en-GB"/>
        </w:rPr>
      </w:pPr>
      <w:r>
        <w:rPr>
          <w:rFonts w:cs="Arial" w:ascii="Arial" w:hAnsi="Arial"/>
          <w:sz w:val="20"/>
          <w:szCs w:val="20"/>
          <w:lang w:val="en-GB"/>
        </w:rPr>
      </w:r>
    </w:p>
    <w:p>
      <w:pPr>
        <w:pStyle w:val="Normal"/>
        <w:numPr>
          <w:ilvl w:val="0"/>
          <w:numId w:val="4"/>
        </w:numPr>
        <w:jc w:val="both"/>
        <w:rPr>
          <w:rFonts w:ascii="Arial" w:hAnsi="Arial" w:cs="Arial"/>
          <w:sz w:val="20"/>
          <w:szCs w:val="20"/>
          <w:lang w:val="en-GB"/>
        </w:rPr>
      </w:pPr>
      <w:r>
        <w:rPr>
          <w:rFonts w:cs="Arial" w:ascii="Arial" w:hAnsi="Arial"/>
          <w:sz w:val="20"/>
          <w:szCs w:val="20"/>
          <w:lang w:val="en-GB"/>
        </w:rPr>
        <w:t>if the Tenderer is not the successful Tenderer, twenty-eight (28) days after the expiration of the Tenderer’s Tender validity period, being [</w:t>
      </w:r>
      <w:r>
        <w:rPr>
          <w:rFonts w:cs="Arial" w:ascii="Arial" w:hAnsi="Arial"/>
          <w:i/>
          <w:sz w:val="20"/>
          <w:szCs w:val="20"/>
          <w:lang w:val="en-GB"/>
        </w:rPr>
        <w:t>date of expiration of the Tender validity plus twenty-eight(28) days]</w:t>
      </w:r>
    </w:p>
    <w:p>
      <w:pPr>
        <w:pStyle w:val="Normal"/>
        <w:jc w:val="both"/>
        <w:rPr>
          <w:rFonts w:ascii="Arial" w:hAnsi="Arial" w:cs="Arial"/>
          <w:sz w:val="20"/>
          <w:szCs w:val="20"/>
          <w:lang w:val="en-GB"/>
        </w:rPr>
      </w:pPr>
      <w:r>
        <w:rPr>
          <w:rFonts w:cs="Arial" w:ascii="Arial" w:hAnsi="Arial"/>
          <w:sz w:val="20"/>
          <w:szCs w:val="20"/>
          <w:lang w:val="en-GB"/>
        </w:rPr>
      </w:r>
    </w:p>
    <w:p>
      <w:pPr>
        <w:pStyle w:val="Normal"/>
        <w:jc w:val="both"/>
        <w:rPr>
          <w:rFonts w:ascii="Arial" w:hAnsi="Arial" w:cs="Arial"/>
          <w:sz w:val="20"/>
          <w:szCs w:val="20"/>
          <w:lang w:val="en-GB"/>
        </w:rPr>
      </w:pPr>
      <w:r>
        <w:rPr>
          <w:rFonts w:cs="Arial" w:ascii="Arial" w:hAnsi="Arial"/>
          <w:sz w:val="20"/>
          <w:szCs w:val="20"/>
          <w:lang w:val="en-GB"/>
        </w:rPr>
        <w:t>Consequently, we must receive at the above-mentioned office any demand for payment under this guarantee on or before that date.</w:t>
      </w:r>
    </w:p>
    <w:p>
      <w:pPr>
        <w:pStyle w:val="Normal"/>
        <w:jc w:val="both"/>
        <w:rPr>
          <w:rFonts w:ascii="Arial" w:hAnsi="Arial" w:cs="Arial"/>
          <w:sz w:val="20"/>
          <w:szCs w:val="20"/>
          <w:lang w:val="en-GB"/>
        </w:rPr>
      </w:pPr>
      <w:r>
        <w:rPr>
          <w:rFonts w:cs="Arial" w:ascii="Arial" w:hAnsi="Arial"/>
          <w:sz w:val="20"/>
          <w:szCs w:val="20"/>
          <w:lang w:val="en-GB"/>
        </w:rPr>
      </w:r>
    </w:p>
    <w:p>
      <w:pPr>
        <w:pStyle w:val="Normal"/>
        <w:jc w:val="both"/>
        <w:rPr>
          <w:rFonts w:ascii="Arial" w:hAnsi="Arial" w:cs="Arial"/>
          <w:sz w:val="20"/>
          <w:szCs w:val="20"/>
          <w:lang w:val="en-GB"/>
        </w:rPr>
      </w:pPr>
      <w:r>
        <w:rPr>
          <w:rFonts w:cs="Arial" w:ascii="Arial" w:hAnsi="Arial"/>
          <w:sz w:val="20"/>
          <w:szCs w:val="20"/>
          <w:lang w:val="en-GB"/>
        </w:rPr>
      </w:r>
    </w:p>
    <w:p>
      <w:pPr>
        <w:pStyle w:val="Normal"/>
        <w:jc w:val="both"/>
        <w:rPr>
          <w:rFonts w:ascii="Arial" w:hAnsi="Arial" w:cs="Arial"/>
          <w:sz w:val="20"/>
          <w:szCs w:val="20"/>
          <w:lang w:val="en-GB"/>
        </w:rPr>
      </w:pPr>
      <w:r>
        <w:rPr>
          <w:rFonts w:cs="Arial" w:ascii="Arial" w:hAnsi="Arial"/>
          <w:sz w:val="20"/>
          <w:szCs w:val="20"/>
          <w:lang w:val="en-GB"/>
        </w:rPr>
      </w:r>
    </w:p>
    <w:tbl>
      <w:tblPr>
        <w:tblW w:w="9000"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4512"/>
        <w:gridCol w:w="4487"/>
      </w:tblGrid>
      <w:tr>
        <w:trPr/>
        <w:tc>
          <w:tcPr>
            <w:tcW w:w="4512" w:type="dxa"/>
            <w:tcBorders/>
          </w:tcPr>
          <w:p>
            <w:pPr>
              <w:pStyle w:val="Normal"/>
              <w:widowControl w:val="false"/>
              <w:jc w:val="both"/>
              <w:rPr>
                <w:rFonts w:ascii="Arial" w:hAnsi="Arial" w:cs="Arial"/>
                <w:sz w:val="20"/>
                <w:szCs w:val="20"/>
                <w:lang w:val="en-GB"/>
              </w:rPr>
            </w:pPr>
            <w:r>
              <w:rPr>
                <w:rFonts w:cs="Arial" w:ascii="Arial" w:hAnsi="Arial"/>
                <w:sz w:val="20"/>
                <w:szCs w:val="20"/>
                <w:lang w:val="en-GB"/>
              </w:rPr>
            </w:r>
          </w:p>
          <w:p>
            <w:pPr>
              <w:pStyle w:val="Normal"/>
              <w:widowControl w:val="false"/>
              <w:jc w:val="both"/>
              <w:rPr>
                <w:rFonts w:ascii="Arial" w:hAnsi="Arial" w:cs="Arial"/>
                <w:sz w:val="20"/>
                <w:szCs w:val="20"/>
                <w:lang w:val="en-GB"/>
              </w:rPr>
            </w:pPr>
            <w:r>
              <w:rPr>
                <w:rFonts w:cs="Arial" w:ascii="Arial" w:hAnsi="Arial"/>
                <w:sz w:val="20"/>
                <w:szCs w:val="20"/>
                <w:lang w:val="en-GB"/>
              </w:rPr>
            </w:r>
          </w:p>
          <w:p>
            <w:pPr>
              <w:pStyle w:val="Normal"/>
              <w:widowControl w:val="false"/>
              <w:jc w:val="both"/>
              <w:rPr>
                <w:rFonts w:ascii="Arial" w:hAnsi="Arial" w:cs="Arial"/>
                <w:sz w:val="20"/>
                <w:szCs w:val="20"/>
                <w:lang w:val="en-GB"/>
              </w:rPr>
            </w:pPr>
            <w:r>
              <w:rPr>
                <w:rFonts w:cs="Arial" w:ascii="Arial" w:hAnsi="Arial"/>
                <w:sz w:val="20"/>
                <w:szCs w:val="20"/>
                <w:lang w:val="en-GB"/>
              </w:rPr>
              <w:t>Signature</w:t>
            </w:r>
          </w:p>
        </w:tc>
        <w:tc>
          <w:tcPr>
            <w:tcW w:w="4487" w:type="dxa"/>
            <w:tcBorders/>
          </w:tcPr>
          <w:p>
            <w:pPr>
              <w:pStyle w:val="Normal"/>
              <w:widowControl w:val="false"/>
              <w:jc w:val="both"/>
              <w:rPr>
                <w:rFonts w:ascii="Arial" w:hAnsi="Arial" w:cs="Arial"/>
                <w:sz w:val="20"/>
                <w:szCs w:val="20"/>
                <w:lang w:val="en-GB"/>
              </w:rPr>
            </w:pPr>
            <w:r>
              <w:rPr>
                <w:rFonts w:cs="Arial" w:ascii="Arial" w:hAnsi="Arial"/>
                <w:sz w:val="20"/>
                <w:szCs w:val="20"/>
                <w:lang w:val="en-GB"/>
              </w:rPr>
            </w:r>
          </w:p>
          <w:p>
            <w:pPr>
              <w:pStyle w:val="Normal"/>
              <w:widowControl w:val="false"/>
              <w:jc w:val="both"/>
              <w:rPr>
                <w:rFonts w:ascii="Arial" w:hAnsi="Arial" w:cs="Arial"/>
                <w:sz w:val="20"/>
                <w:szCs w:val="20"/>
                <w:lang w:val="en-GB"/>
              </w:rPr>
            </w:pPr>
            <w:r>
              <w:rPr>
                <w:rFonts w:cs="Arial" w:ascii="Arial" w:hAnsi="Arial"/>
                <w:sz w:val="20"/>
                <w:szCs w:val="20"/>
                <w:lang w:val="en-GB"/>
              </w:rPr>
            </w:r>
          </w:p>
          <w:p>
            <w:pPr>
              <w:pStyle w:val="Normal"/>
              <w:widowControl w:val="false"/>
              <w:jc w:val="both"/>
              <w:rPr>
                <w:rFonts w:ascii="Arial" w:hAnsi="Arial" w:cs="Arial"/>
                <w:sz w:val="20"/>
                <w:szCs w:val="20"/>
                <w:lang w:val="en-GB"/>
              </w:rPr>
            </w:pPr>
            <w:r>
              <w:rPr>
                <w:rFonts w:cs="Arial" w:ascii="Arial" w:hAnsi="Arial"/>
                <w:sz w:val="20"/>
                <w:szCs w:val="20"/>
                <w:lang w:val="en-GB"/>
              </w:rPr>
              <w:t xml:space="preserve"> </w:t>
            </w:r>
            <w:r>
              <w:rPr>
                <w:rFonts w:cs="Arial" w:ascii="Arial" w:hAnsi="Arial"/>
                <w:sz w:val="20"/>
                <w:szCs w:val="20"/>
                <w:lang w:val="en-GB"/>
              </w:rPr>
              <w:t>Seal</w:t>
            </w:r>
          </w:p>
        </w:tc>
      </w:tr>
    </w:tbl>
    <w:p>
      <w:pPr>
        <w:pStyle w:val="Normal"/>
        <w:jc w:val="both"/>
        <w:rPr>
          <w:rFonts w:ascii="Arial" w:hAnsi="Arial" w:cs="Arial"/>
          <w:sz w:val="20"/>
          <w:szCs w:val="20"/>
          <w:lang w:val="en-GB"/>
        </w:rPr>
      </w:pPr>
      <w:r>
        <w:rPr>
          <w:rFonts w:cs="Arial" w:ascii="Arial" w:hAnsi="Arial"/>
          <w:sz w:val="20"/>
          <w:szCs w:val="20"/>
          <w:lang w:val="en-GB"/>
        </w:rPr>
      </w:r>
    </w:p>
    <w:p>
      <w:pPr>
        <w:pStyle w:val="Heading4"/>
        <w:jc w:val="center"/>
        <w:rPr>
          <w:b/>
          <w:b/>
          <w:bCs/>
          <w:sz w:val="32"/>
          <w:szCs w:val="32"/>
          <w:lang w:val="en-GB"/>
        </w:rPr>
      </w:pPr>
      <w:r>
        <w:rPr>
          <w:b/>
          <w:bCs/>
          <w:sz w:val="32"/>
          <w:szCs w:val="32"/>
          <w:lang w:val="en-GB"/>
        </w:rPr>
      </w:r>
    </w:p>
    <w:p>
      <w:pPr>
        <w:pStyle w:val="Heading4"/>
        <w:jc w:val="center"/>
        <w:rPr>
          <w:b/>
          <w:b/>
          <w:bCs/>
          <w:sz w:val="32"/>
          <w:szCs w:val="32"/>
          <w:lang w:val="en-GB"/>
        </w:rPr>
      </w:pPr>
      <w:r>
        <w:rPr>
          <w:b/>
          <w:bCs/>
          <w:sz w:val="32"/>
          <w:szCs w:val="32"/>
          <w:lang w:val="en-GB"/>
        </w:rPr>
      </w:r>
    </w:p>
    <w:p>
      <w:pPr>
        <w:pStyle w:val="Normal"/>
        <w:rPr>
          <w:rFonts w:eastAsia="Times New Roman"/>
          <w:b/>
          <w:b/>
          <w:bCs/>
          <w:sz w:val="32"/>
          <w:szCs w:val="32"/>
          <w:lang w:val="en-GB" w:eastAsia="en-US"/>
        </w:rPr>
      </w:pPr>
      <w:r>
        <w:rPr>
          <w:rFonts w:eastAsia="Times New Roman"/>
          <w:b/>
          <w:bCs/>
          <w:sz w:val="32"/>
          <w:szCs w:val="32"/>
          <w:lang w:val="en-GB" w:eastAsia="en-US"/>
        </w:rPr>
      </w:r>
      <w:r>
        <w:br w:type="page"/>
      </w:r>
    </w:p>
    <w:p>
      <w:pPr>
        <w:pStyle w:val="Heading4"/>
        <w:jc w:val="center"/>
        <w:rPr>
          <w:b/>
          <w:b/>
          <w:bCs/>
          <w:sz w:val="28"/>
          <w:szCs w:val="28"/>
          <w:lang w:val="en-GB"/>
        </w:rPr>
      </w:pPr>
      <w:r>
        <w:rPr>
          <w:b/>
          <w:bCs/>
          <w:sz w:val="32"/>
          <w:szCs w:val="32"/>
          <w:lang w:val="en-GB"/>
        </w:rPr>
        <w:t>Letter of Commitment for Bank’s Undertaking for Line of Credit (Form PG3-8</w:t>
      </w:r>
      <w:r>
        <w:rPr>
          <w:b/>
          <w:bCs/>
          <w:sz w:val="28"/>
          <w:szCs w:val="28"/>
          <w:lang w:val="en-GB"/>
        </w:rPr>
        <w:t>)</w:t>
      </w:r>
    </w:p>
    <w:p>
      <w:pPr>
        <w:pStyle w:val="Normal"/>
        <w:jc w:val="both"/>
        <w:rPr>
          <w:rFonts w:cs="Arial"/>
          <w:sz w:val="20"/>
          <w:lang w:val="en-GB"/>
        </w:rPr>
      </w:pPr>
      <w:r>
        <w:rPr>
          <w:rFonts w:cs="Arial"/>
          <w:sz w:val="20"/>
          <w:lang w:val="en-GB"/>
        </w:rPr>
      </w:r>
    </w:p>
    <w:p>
      <w:pPr>
        <w:pStyle w:val="Normal"/>
        <w:jc w:val="center"/>
        <w:rPr>
          <w:rFonts w:ascii="Arial" w:hAnsi="Arial" w:cs="Arial"/>
          <w:i/>
          <w:i/>
          <w:iCs/>
          <w:sz w:val="18"/>
          <w:szCs w:val="18"/>
          <w:lang w:val="en-GB"/>
        </w:rPr>
      </w:pPr>
      <w:r>
        <w:rPr>
          <w:rFonts w:cs="Arial" w:ascii="Arial" w:hAnsi="Arial"/>
          <w:i/>
          <w:iCs/>
          <w:sz w:val="18"/>
          <w:szCs w:val="18"/>
          <w:lang w:val="en-GB"/>
        </w:rPr>
        <w:t>[This is the format for the Credit Line to be issued by any scheduled Bank of Bangladesh in accordance with ITT Clause28.1(d)]</w:t>
      </w:r>
    </w:p>
    <w:p>
      <w:pPr>
        <w:pStyle w:val="Normal"/>
        <w:rPr>
          <w:rFonts w:ascii="Arial" w:hAnsi="Arial" w:cs="Arial"/>
          <w:sz w:val="18"/>
          <w:szCs w:val="18"/>
          <w:lang w:val="en-GB"/>
        </w:rPr>
      </w:pPr>
      <w:r>
        <w:rPr>
          <w:rFonts w:cs="Arial" w:ascii="Arial" w:hAnsi="Arial"/>
          <w:sz w:val="18"/>
          <w:szCs w:val="18"/>
          <w:lang w:val="en-GB"/>
        </w:rPr>
      </w:r>
    </w:p>
    <w:tbl>
      <w:tblPr>
        <w:tblW w:w="9000"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4512"/>
        <w:gridCol w:w="4487"/>
      </w:tblGrid>
      <w:tr>
        <w:trPr/>
        <w:tc>
          <w:tcPr>
            <w:tcW w:w="4512" w:type="dxa"/>
            <w:tcBorders/>
          </w:tcPr>
          <w:p>
            <w:pPr>
              <w:pStyle w:val="Normal"/>
              <w:widowControl w:val="false"/>
              <w:jc w:val="both"/>
              <w:rPr>
                <w:rFonts w:ascii="Arial" w:hAnsi="Arial" w:cs="Arial"/>
                <w:sz w:val="21"/>
                <w:szCs w:val="21"/>
                <w:lang w:val="en-GB"/>
              </w:rPr>
            </w:pPr>
            <w:r>
              <w:rPr>
                <w:rFonts w:cs="Arial" w:ascii="Arial" w:hAnsi="Arial"/>
                <w:sz w:val="21"/>
                <w:szCs w:val="21"/>
                <w:lang w:val="en-GB"/>
              </w:rPr>
              <w:t>Invitation for Tender No:</w:t>
            </w:r>
          </w:p>
          <w:p>
            <w:pPr>
              <w:pStyle w:val="Normal"/>
              <w:widowControl w:val="false"/>
              <w:jc w:val="both"/>
              <w:rPr>
                <w:rFonts w:ascii="Arial" w:hAnsi="Arial" w:cs="Arial"/>
                <w:sz w:val="21"/>
                <w:szCs w:val="21"/>
                <w:lang w:val="en-GB"/>
              </w:rPr>
            </w:pPr>
            <w:r>
              <w:rPr>
                <w:rFonts w:cs="Arial" w:ascii="Arial" w:hAnsi="Arial"/>
                <w:sz w:val="21"/>
                <w:szCs w:val="21"/>
                <w:lang w:val="en-GB"/>
              </w:rPr>
            </w:r>
          </w:p>
        </w:tc>
        <w:tc>
          <w:tcPr>
            <w:tcW w:w="4487" w:type="dxa"/>
            <w:tcBorders/>
          </w:tcPr>
          <w:p>
            <w:pPr>
              <w:pStyle w:val="Normal"/>
              <w:widowControl w:val="false"/>
              <w:jc w:val="both"/>
              <w:rPr>
                <w:rFonts w:ascii="Arial" w:hAnsi="Arial" w:cs="Arial"/>
                <w:sz w:val="21"/>
                <w:szCs w:val="21"/>
                <w:lang w:val="en-GB"/>
              </w:rPr>
            </w:pPr>
            <w:r>
              <w:rPr>
                <w:rFonts w:cs="Arial" w:ascii="Arial" w:hAnsi="Arial"/>
                <w:sz w:val="21"/>
                <w:szCs w:val="21"/>
                <w:lang w:val="en-GB"/>
              </w:rPr>
              <w:t>Date:</w:t>
            </w:r>
          </w:p>
        </w:tc>
      </w:tr>
      <w:tr>
        <w:trPr/>
        <w:tc>
          <w:tcPr>
            <w:tcW w:w="4512" w:type="dxa"/>
            <w:tcBorders/>
          </w:tcPr>
          <w:p>
            <w:pPr>
              <w:pStyle w:val="Normal"/>
              <w:widowControl w:val="false"/>
              <w:jc w:val="both"/>
              <w:rPr>
                <w:rFonts w:ascii="Arial" w:hAnsi="Arial" w:cs="Arial"/>
                <w:sz w:val="21"/>
                <w:szCs w:val="21"/>
                <w:lang w:val="en-GB"/>
              </w:rPr>
            </w:pPr>
            <w:r>
              <w:rPr>
                <w:rFonts w:cs="Arial" w:ascii="Arial" w:hAnsi="Arial"/>
                <w:sz w:val="21"/>
                <w:szCs w:val="21"/>
                <w:lang w:val="en-GB"/>
              </w:rPr>
              <w:t>Tender Package No:</w:t>
            </w:r>
          </w:p>
          <w:p>
            <w:pPr>
              <w:pStyle w:val="Normal"/>
              <w:widowControl w:val="false"/>
              <w:jc w:val="both"/>
              <w:rPr>
                <w:rFonts w:ascii="Arial" w:hAnsi="Arial" w:cs="Arial"/>
                <w:sz w:val="21"/>
                <w:szCs w:val="21"/>
                <w:lang w:val="en-GB"/>
              </w:rPr>
            </w:pPr>
            <w:r>
              <w:rPr>
                <w:rFonts w:cs="Arial" w:ascii="Arial" w:hAnsi="Arial"/>
                <w:sz w:val="21"/>
                <w:szCs w:val="21"/>
                <w:lang w:val="en-GB"/>
              </w:rPr>
            </w:r>
          </w:p>
        </w:tc>
        <w:tc>
          <w:tcPr>
            <w:tcW w:w="4487" w:type="dxa"/>
            <w:tcBorders/>
          </w:tcPr>
          <w:p>
            <w:pPr>
              <w:pStyle w:val="Normal"/>
              <w:widowControl w:val="false"/>
              <w:jc w:val="both"/>
              <w:rPr>
                <w:rFonts w:ascii="Arial" w:hAnsi="Arial" w:cs="Arial"/>
                <w:sz w:val="21"/>
                <w:szCs w:val="21"/>
                <w:lang w:val="en-GB"/>
              </w:rPr>
            </w:pPr>
            <w:r>
              <w:rPr>
                <w:rFonts w:cs="Arial" w:ascii="Arial" w:hAnsi="Arial"/>
                <w:sz w:val="21"/>
                <w:szCs w:val="21"/>
                <w:lang w:val="en-GB"/>
              </w:rPr>
            </w:r>
          </w:p>
        </w:tc>
      </w:tr>
      <w:tr>
        <w:trPr/>
        <w:tc>
          <w:tcPr>
            <w:tcW w:w="4512" w:type="dxa"/>
            <w:tcBorders/>
          </w:tcPr>
          <w:p>
            <w:pPr>
              <w:pStyle w:val="Normal"/>
              <w:widowControl w:val="false"/>
              <w:jc w:val="both"/>
              <w:rPr>
                <w:rFonts w:ascii="Arial" w:hAnsi="Arial" w:cs="Arial"/>
                <w:sz w:val="21"/>
                <w:szCs w:val="21"/>
                <w:lang w:val="en-GB"/>
              </w:rPr>
            </w:pPr>
            <w:r>
              <w:rPr>
                <w:rFonts w:cs="Arial" w:ascii="Arial" w:hAnsi="Arial"/>
                <w:sz w:val="21"/>
                <w:szCs w:val="21"/>
                <w:lang w:val="en-GB"/>
              </w:rPr>
              <w:t>Lot No (</w:t>
            </w:r>
            <w:r>
              <w:rPr>
                <w:rFonts w:cs="Arial" w:ascii="Arial" w:hAnsi="Arial"/>
                <w:i/>
                <w:sz w:val="18"/>
                <w:szCs w:val="18"/>
                <w:lang w:val="en-GB"/>
              </w:rPr>
              <w:t>when applicable</w:t>
            </w:r>
            <w:r>
              <w:rPr>
                <w:rFonts w:cs="Arial" w:ascii="Arial" w:hAnsi="Arial"/>
                <w:sz w:val="21"/>
                <w:szCs w:val="21"/>
                <w:lang w:val="en-GB"/>
              </w:rPr>
              <w:t>):</w:t>
            </w:r>
          </w:p>
        </w:tc>
        <w:tc>
          <w:tcPr>
            <w:tcW w:w="4487" w:type="dxa"/>
            <w:tcBorders/>
          </w:tcPr>
          <w:p>
            <w:pPr>
              <w:pStyle w:val="Normal"/>
              <w:widowControl w:val="false"/>
              <w:jc w:val="both"/>
              <w:rPr>
                <w:rFonts w:ascii="Arial" w:hAnsi="Arial" w:cs="Arial"/>
                <w:sz w:val="21"/>
                <w:szCs w:val="21"/>
                <w:lang w:val="en-GB"/>
              </w:rPr>
            </w:pPr>
            <w:r>
              <w:rPr>
                <w:rFonts w:cs="Arial" w:ascii="Arial" w:hAnsi="Arial"/>
                <w:sz w:val="21"/>
                <w:szCs w:val="21"/>
                <w:lang w:val="en-GB"/>
              </w:rPr>
            </w:r>
          </w:p>
        </w:tc>
      </w:tr>
      <w:tr>
        <w:trPr/>
        <w:tc>
          <w:tcPr>
            <w:tcW w:w="4512" w:type="dxa"/>
            <w:tcBorders/>
          </w:tcPr>
          <w:p>
            <w:pPr>
              <w:pStyle w:val="Normal"/>
              <w:widowControl w:val="false"/>
              <w:jc w:val="both"/>
              <w:rPr>
                <w:rFonts w:ascii="Arial" w:hAnsi="Arial" w:cs="Arial"/>
                <w:sz w:val="21"/>
                <w:szCs w:val="21"/>
                <w:lang w:val="en-GB"/>
              </w:rPr>
            </w:pPr>
            <w:r>
              <w:rPr>
                <w:rFonts w:cs="Arial" w:ascii="Arial" w:hAnsi="Arial"/>
                <w:sz w:val="21"/>
                <w:szCs w:val="21"/>
                <w:lang w:val="en-GB"/>
              </w:rPr>
              <w:t>To:</w:t>
            </w:r>
          </w:p>
          <w:p>
            <w:pPr>
              <w:pStyle w:val="Normal"/>
              <w:widowControl w:val="false"/>
              <w:jc w:val="both"/>
              <w:rPr>
                <w:rFonts w:ascii="Arial" w:hAnsi="Arial" w:cs="Arial"/>
                <w:sz w:val="21"/>
                <w:szCs w:val="21"/>
                <w:lang w:val="en-GB"/>
              </w:rPr>
            </w:pPr>
            <w:r>
              <w:rPr>
                <w:rFonts w:cs="Arial" w:ascii="Arial" w:hAnsi="Arial"/>
                <w:sz w:val="21"/>
                <w:szCs w:val="21"/>
                <w:lang w:val="en-GB"/>
              </w:rPr>
            </w:r>
          </w:p>
          <w:p>
            <w:pPr>
              <w:pStyle w:val="Normal"/>
              <w:widowControl w:val="false"/>
              <w:rPr>
                <w:rFonts w:ascii="Arial" w:hAnsi="Arial" w:cs="Arial"/>
                <w:b/>
                <w:b/>
                <w:bCs/>
                <w:sz w:val="21"/>
                <w:szCs w:val="21"/>
                <w:lang w:val="en-GB"/>
              </w:rPr>
            </w:pPr>
            <w:r>
              <w:rPr>
                <w:rFonts w:cs="Arial" w:ascii="Arial" w:hAnsi="Arial"/>
                <w:bCs/>
                <w:sz w:val="21"/>
                <w:szCs w:val="21"/>
                <w:lang w:val="en-GB"/>
              </w:rPr>
              <w:t>[</w:t>
            </w:r>
            <w:r>
              <w:rPr>
                <w:rFonts w:cs="Arial" w:ascii="Arial" w:hAnsi="Arial"/>
                <w:i/>
                <w:sz w:val="18"/>
                <w:szCs w:val="18"/>
                <w:lang w:val="en-GB"/>
              </w:rPr>
              <w:t>Name and address of the Procuring Entity</w:t>
            </w:r>
            <w:r>
              <w:rPr>
                <w:rFonts w:cs="Arial" w:ascii="Arial" w:hAnsi="Arial"/>
                <w:bCs/>
                <w:sz w:val="21"/>
                <w:szCs w:val="21"/>
                <w:lang w:val="en-GB"/>
              </w:rPr>
              <w:t>]</w:t>
            </w:r>
          </w:p>
          <w:p>
            <w:pPr>
              <w:pStyle w:val="Normal"/>
              <w:widowControl w:val="false"/>
              <w:jc w:val="both"/>
              <w:rPr>
                <w:rFonts w:ascii="Arial" w:hAnsi="Arial" w:cs="Arial"/>
                <w:sz w:val="21"/>
                <w:szCs w:val="21"/>
                <w:lang w:val="en-GB"/>
              </w:rPr>
            </w:pPr>
            <w:r>
              <w:rPr>
                <w:rFonts w:cs="Arial" w:ascii="Arial" w:hAnsi="Arial"/>
                <w:sz w:val="21"/>
                <w:szCs w:val="21"/>
                <w:lang w:val="en-GB"/>
              </w:rPr>
            </w:r>
          </w:p>
        </w:tc>
        <w:tc>
          <w:tcPr>
            <w:tcW w:w="4487" w:type="dxa"/>
            <w:tcBorders/>
          </w:tcPr>
          <w:p>
            <w:pPr>
              <w:pStyle w:val="Normal"/>
              <w:widowControl w:val="false"/>
              <w:jc w:val="both"/>
              <w:rPr>
                <w:rFonts w:ascii="Arial" w:hAnsi="Arial" w:cs="Arial"/>
                <w:sz w:val="21"/>
                <w:szCs w:val="21"/>
                <w:lang w:val="en-GB"/>
              </w:rPr>
            </w:pPr>
            <w:r>
              <w:rPr>
                <w:rFonts w:cs="Arial" w:ascii="Arial" w:hAnsi="Arial"/>
                <w:sz w:val="21"/>
                <w:szCs w:val="21"/>
                <w:lang w:val="en-GB"/>
              </w:rPr>
            </w:r>
          </w:p>
        </w:tc>
      </w:tr>
    </w:tbl>
    <w:p>
      <w:pPr>
        <w:pStyle w:val="Normal"/>
        <w:jc w:val="both"/>
        <w:rPr>
          <w:rFonts w:ascii="Arial" w:hAnsi="Arial" w:cs="Arial"/>
          <w:sz w:val="21"/>
          <w:szCs w:val="21"/>
          <w:lang w:val="en-GB"/>
        </w:rPr>
      </w:pPr>
      <w:r>
        <w:rPr>
          <w:rFonts w:cs="Arial" w:ascii="Arial" w:hAnsi="Arial"/>
          <w:sz w:val="21"/>
          <w:szCs w:val="21"/>
          <w:lang w:val="en-GB"/>
        </w:rPr>
      </w:r>
    </w:p>
    <w:p>
      <w:pPr>
        <w:pStyle w:val="Normal"/>
        <w:jc w:val="center"/>
        <w:rPr>
          <w:rFonts w:ascii="Arial" w:hAnsi="Arial" w:cs="Arial"/>
          <w:sz w:val="18"/>
          <w:szCs w:val="18"/>
          <w:lang w:val="en-GB"/>
        </w:rPr>
      </w:pPr>
      <w:r>
        <w:rPr>
          <w:rFonts w:cs="Arial" w:ascii="Arial" w:hAnsi="Arial"/>
          <w:b/>
          <w:bCs/>
          <w:sz w:val="21"/>
          <w:szCs w:val="21"/>
          <w:lang w:val="en-GB"/>
        </w:rPr>
        <w:t xml:space="preserve">CREDIT COMMITTMENT No: </w:t>
      </w:r>
      <w:r>
        <w:rPr>
          <w:rFonts w:cs="Arial" w:ascii="Arial" w:hAnsi="Arial"/>
          <w:bCs/>
          <w:sz w:val="18"/>
          <w:szCs w:val="18"/>
          <w:lang w:val="en-GB"/>
        </w:rPr>
        <w:t>[</w:t>
      </w:r>
      <w:r>
        <w:rPr>
          <w:rFonts w:cs="Arial" w:ascii="Arial" w:hAnsi="Arial"/>
          <w:bCs/>
          <w:i/>
          <w:sz w:val="18"/>
          <w:szCs w:val="18"/>
          <w:lang w:val="en-GB"/>
        </w:rPr>
        <w:t>insert number</w:t>
      </w:r>
      <w:r>
        <w:rPr>
          <w:rFonts w:cs="Arial" w:ascii="Arial" w:hAnsi="Arial"/>
          <w:bCs/>
          <w:sz w:val="18"/>
          <w:szCs w:val="18"/>
          <w:lang w:val="en-GB"/>
        </w:rPr>
        <w:t xml:space="preserve">] </w:t>
      </w:r>
    </w:p>
    <w:p>
      <w:pPr>
        <w:pStyle w:val="Normal"/>
        <w:jc w:val="center"/>
        <w:rPr>
          <w:rFonts w:ascii="Arial" w:hAnsi="Arial" w:cs="Arial"/>
          <w:sz w:val="21"/>
          <w:szCs w:val="21"/>
          <w:lang w:val="en-GB"/>
        </w:rPr>
      </w:pPr>
      <w:r>
        <w:rPr>
          <w:rFonts w:cs="Arial" w:ascii="Arial" w:hAnsi="Arial"/>
          <w:sz w:val="21"/>
          <w:szCs w:val="21"/>
          <w:lang w:val="en-GB"/>
        </w:rPr>
      </w:r>
    </w:p>
    <w:p>
      <w:pPr>
        <w:pStyle w:val="Normal"/>
        <w:jc w:val="both"/>
        <w:rPr>
          <w:rFonts w:ascii="Arial" w:hAnsi="Arial" w:cs="Arial"/>
          <w:sz w:val="21"/>
          <w:szCs w:val="21"/>
          <w:lang w:val="en-GB"/>
        </w:rPr>
      </w:pPr>
      <w:r>
        <w:rPr>
          <w:rFonts w:cs="Arial" w:ascii="Arial" w:hAnsi="Arial"/>
          <w:sz w:val="21"/>
          <w:szCs w:val="21"/>
          <w:lang w:val="en-GB"/>
        </w:rPr>
      </w:r>
    </w:p>
    <w:p>
      <w:pPr>
        <w:pStyle w:val="Normal"/>
        <w:jc w:val="both"/>
        <w:rPr>
          <w:rFonts w:ascii="Arial" w:hAnsi="Arial" w:cs="Arial"/>
          <w:sz w:val="21"/>
          <w:szCs w:val="21"/>
          <w:lang w:val="en-GB"/>
        </w:rPr>
      </w:pPr>
      <w:r>
        <w:rPr>
          <w:rFonts w:cs="Arial" w:ascii="Arial" w:hAnsi="Arial"/>
          <w:sz w:val="21"/>
          <w:szCs w:val="21"/>
          <w:lang w:val="en-GB"/>
        </w:rPr>
        <w:t xml:space="preserve">We have been informed that </w:t>
      </w:r>
      <w:r>
        <w:rPr>
          <w:rFonts w:cs="Arial" w:ascii="Arial" w:hAnsi="Arial"/>
          <w:i/>
          <w:iCs/>
          <w:sz w:val="21"/>
          <w:szCs w:val="21"/>
          <w:lang w:val="en-GB"/>
        </w:rPr>
        <w:t>[</w:t>
      </w:r>
      <w:r>
        <w:rPr>
          <w:rFonts w:cs="Arial" w:ascii="Arial" w:hAnsi="Arial"/>
          <w:i/>
          <w:iCs/>
          <w:sz w:val="18"/>
          <w:szCs w:val="18"/>
          <w:lang w:val="en-GB"/>
        </w:rPr>
        <w:t>name of Tenderer</w:t>
      </w:r>
      <w:r>
        <w:rPr>
          <w:rFonts w:cs="Arial" w:ascii="Arial" w:hAnsi="Arial"/>
          <w:i/>
          <w:iCs/>
          <w:sz w:val="21"/>
          <w:szCs w:val="21"/>
          <w:lang w:val="en-GB"/>
        </w:rPr>
        <w:t>]</w:t>
      </w:r>
      <w:r>
        <w:rPr>
          <w:rFonts w:cs="Arial" w:ascii="Arial" w:hAnsi="Arial"/>
          <w:sz w:val="21"/>
          <w:szCs w:val="21"/>
          <w:lang w:val="en-GB"/>
        </w:rPr>
        <w:t xml:space="preserve"> (hereinafter called “the Tenderer”) intends to submit to you its Tender (hereinafter called “the Tender”) for the supply of Goods of </w:t>
      </w:r>
      <w:r>
        <w:rPr>
          <w:rFonts w:cs="Arial" w:ascii="Arial" w:hAnsi="Arial"/>
          <w:i/>
          <w:iCs/>
          <w:sz w:val="21"/>
          <w:szCs w:val="21"/>
          <w:lang w:val="en-GB"/>
        </w:rPr>
        <w:t>[</w:t>
      </w:r>
      <w:r>
        <w:rPr>
          <w:rFonts w:cs="Arial" w:ascii="Arial" w:hAnsi="Arial"/>
          <w:i/>
          <w:iCs/>
          <w:sz w:val="18"/>
          <w:szCs w:val="18"/>
          <w:lang w:val="en-GB"/>
        </w:rPr>
        <w:t>description of Goods and related services</w:t>
      </w:r>
      <w:r>
        <w:rPr>
          <w:rFonts w:cs="Arial" w:ascii="Arial" w:hAnsi="Arial"/>
          <w:i/>
          <w:iCs/>
          <w:sz w:val="21"/>
          <w:szCs w:val="21"/>
          <w:lang w:val="en-GB"/>
        </w:rPr>
        <w:t>]</w:t>
      </w:r>
      <w:r>
        <w:rPr>
          <w:rFonts w:cs="Arial" w:ascii="Arial" w:hAnsi="Arial"/>
          <w:sz w:val="21"/>
          <w:szCs w:val="21"/>
          <w:lang w:val="en-GB"/>
        </w:rPr>
        <w:t xml:space="preserve"> under the above Invitation for Tenders (hereinafter called “the IFT”).</w:t>
      </w:r>
    </w:p>
    <w:p>
      <w:pPr>
        <w:pStyle w:val="Normal"/>
        <w:jc w:val="both"/>
        <w:rPr>
          <w:rFonts w:ascii="Arial" w:hAnsi="Arial" w:cs="Arial"/>
          <w:sz w:val="21"/>
          <w:szCs w:val="21"/>
          <w:lang w:val="en-GB"/>
        </w:rPr>
      </w:pPr>
      <w:r>
        <w:rPr>
          <w:rFonts w:cs="Arial" w:ascii="Arial" w:hAnsi="Arial"/>
          <w:sz w:val="21"/>
          <w:szCs w:val="21"/>
          <w:lang w:val="en-GB"/>
        </w:rPr>
      </w:r>
    </w:p>
    <w:p>
      <w:pPr>
        <w:pStyle w:val="Normal"/>
        <w:jc w:val="both"/>
        <w:rPr>
          <w:rFonts w:ascii="Arial" w:hAnsi="Arial" w:cs="Arial"/>
          <w:sz w:val="21"/>
          <w:szCs w:val="21"/>
          <w:lang w:val="en-GB"/>
        </w:rPr>
      </w:pPr>
      <w:r>
        <w:rPr>
          <w:rFonts w:cs="Arial" w:ascii="Arial" w:hAnsi="Arial"/>
          <w:sz w:val="21"/>
          <w:szCs w:val="21"/>
          <w:lang w:val="en-GB"/>
        </w:rPr>
        <w:t>Furthermore, we understand that, according to your conditions, the Tenderer’s Financial Capacity i.e. Liquid Asset must be substantiated by a Letter of Commitment of Bank’s Undertaking for Line of Credit.</w:t>
      </w:r>
    </w:p>
    <w:p>
      <w:pPr>
        <w:pStyle w:val="Normal"/>
        <w:jc w:val="both"/>
        <w:rPr>
          <w:rFonts w:ascii="Arial" w:hAnsi="Arial" w:cs="Arial"/>
          <w:sz w:val="21"/>
          <w:szCs w:val="21"/>
          <w:lang w:val="en-GB"/>
        </w:rPr>
      </w:pPr>
      <w:r>
        <w:rPr>
          <w:rFonts w:cs="Arial" w:ascii="Arial" w:hAnsi="Arial"/>
          <w:sz w:val="21"/>
          <w:szCs w:val="21"/>
          <w:lang w:val="en-GB"/>
        </w:rPr>
      </w:r>
    </w:p>
    <w:p>
      <w:pPr>
        <w:pStyle w:val="Normal"/>
        <w:jc w:val="both"/>
        <w:rPr>
          <w:rFonts w:ascii="Arial" w:hAnsi="Arial" w:cs="Arial"/>
          <w:sz w:val="21"/>
          <w:szCs w:val="21"/>
          <w:lang w:val="en-GB"/>
        </w:rPr>
      </w:pPr>
      <w:r>
        <w:rPr>
          <w:rFonts w:cs="Arial" w:ascii="Arial" w:hAnsi="Arial"/>
          <w:sz w:val="21"/>
          <w:szCs w:val="21"/>
          <w:lang w:val="en-GB"/>
        </w:rPr>
        <w:t xml:space="preserve">At the request of, and arrangement with, the Tenderer, we </w:t>
      </w:r>
      <w:r>
        <w:rPr>
          <w:rFonts w:cs="Arial" w:ascii="Arial" w:hAnsi="Arial"/>
          <w:i/>
          <w:iCs/>
          <w:sz w:val="21"/>
          <w:szCs w:val="21"/>
          <w:lang w:val="en-GB"/>
        </w:rPr>
        <w:t>[</w:t>
      </w:r>
      <w:r>
        <w:rPr>
          <w:rFonts w:cs="Arial" w:ascii="Arial" w:hAnsi="Arial"/>
          <w:i/>
          <w:iCs/>
          <w:sz w:val="18"/>
          <w:szCs w:val="18"/>
          <w:lang w:val="en-GB"/>
        </w:rPr>
        <w:t>name and address of the Bank</w:t>
      </w:r>
      <w:r>
        <w:rPr>
          <w:rFonts w:cs="Arial" w:ascii="Arial" w:hAnsi="Arial"/>
          <w:i/>
          <w:iCs/>
          <w:sz w:val="21"/>
          <w:szCs w:val="21"/>
          <w:lang w:val="en-GB"/>
        </w:rPr>
        <w:t>]</w:t>
      </w:r>
      <w:r>
        <w:rPr>
          <w:rFonts w:cs="Arial" w:ascii="Arial" w:hAnsi="Arial"/>
          <w:sz w:val="21"/>
          <w:szCs w:val="21"/>
          <w:lang w:val="en-GB"/>
        </w:rPr>
        <w:t>do hereby agree and undertake that [</w:t>
      </w:r>
      <w:r>
        <w:rPr>
          <w:rFonts w:cs="Arial" w:ascii="Arial" w:hAnsi="Arial"/>
          <w:i/>
          <w:sz w:val="18"/>
          <w:szCs w:val="18"/>
          <w:lang w:val="en-GB"/>
        </w:rPr>
        <w:t>name and address of the Tenderer</w:t>
      </w:r>
      <w:r>
        <w:rPr>
          <w:rFonts w:cs="Arial" w:ascii="Arial" w:hAnsi="Arial"/>
          <w:sz w:val="21"/>
          <w:szCs w:val="21"/>
          <w:lang w:val="en-GB"/>
        </w:rPr>
        <w:t>] will be provided by us with a revolving line of credit, in case awarded the Contract, for the delivery of Goods and related services viz. [</w:t>
      </w:r>
      <w:r>
        <w:rPr>
          <w:rFonts w:cs="Arial" w:ascii="Arial" w:hAnsi="Arial"/>
          <w:i/>
          <w:sz w:val="18"/>
          <w:szCs w:val="18"/>
          <w:lang w:val="en-GB"/>
        </w:rPr>
        <w:t>insert name of supply</w:t>
      </w:r>
      <w:r>
        <w:rPr>
          <w:rFonts w:cs="Arial" w:ascii="Arial" w:hAnsi="Arial"/>
          <w:sz w:val="21"/>
          <w:szCs w:val="21"/>
          <w:lang w:val="en-GB"/>
        </w:rPr>
        <w:t>], for an amount not less than BDT</w:t>
      </w:r>
      <w:r>
        <w:rPr>
          <w:rFonts w:cs="Arial" w:ascii="Arial" w:hAnsi="Arial"/>
          <w:sz w:val="18"/>
          <w:szCs w:val="18"/>
          <w:lang w:val="en-GB"/>
        </w:rPr>
        <w:t>[</w:t>
      </w:r>
      <w:r>
        <w:rPr>
          <w:rFonts w:cs="Arial" w:ascii="Arial" w:hAnsi="Arial"/>
          <w:i/>
          <w:sz w:val="18"/>
          <w:szCs w:val="18"/>
          <w:lang w:val="en-GB"/>
        </w:rPr>
        <w:t>in figure</w:t>
      </w:r>
      <w:r>
        <w:rPr>
          <w:rFonts w:cs="Arial" w:ascii="Arial" w:hAnsi="Arial"/>
          <w:sz w:val="18"/>
          <w:szCs w:val="18"/>
          <w:lang w:val="en-GB"/>
        </w:rPr>
        <w:t>]</w:t>
      </w:r>
      <w:r>
        <w:rPr>
          <w:rFonts w:cs="Arial" w:ascii="Arial" w:hAnsi="Arial"/>
          <w:sz w:val="21"/>
          <w:szCs w:val="21"/>
          <w:lang w:val="en-GB"/>
        </w:rPr>
        <w:t xml:space="preserve"> (</w:t>
      </w:r>
      <w:r>
        <w:rPr>
          <w:rFonts w:cs="Arial" w:ascii="Arial" w:hAnsi="Arial"/>
          <w:i/>
          <w:sz w:val="18"/>
          <w:szCs w:val="18"/>
          <w:lang w:val="en-GB"/>
        </w:rPr>
        <w:t xml:space="preserve"> in words</w:t>
      </w:r>
      <w:r>
        <w:rPr>
          <w:rFonts w:cs="Arial" w:ascii="Arial" w:hAnsi="Arial"/>
          <w:sz w:val="21"/>
          <w:szCs w:val="21"/>
          <w:lang w:val="en-GB"/>
        </w:rPr>
        <w:t>) for the sole purpose of the supply of Goods and related services under the above Contract This Revolving Line of Credit will be maintained by us until issuance of “</w:t>
      </w:r>
      <w:r>
        <w:rPr>
          <w:rFonts w:cs="Arial" w:ascii="Arial" w:hAnsi="Arial"/>
          <w:b/>
          <w:sz w:val="21"/>
          <w:szCs w:val="21"/>
          <w:lang w:val="en-GB"/>
        </w:rPr>
        <w:t>Acceptance Certificate</w:t>
      </w:r>
      <w:r>
        <w:rPr>
          <w:rFonts w:cs="Arial" w:ascii="Arial" w:hAnsi="Arial"/>
          <w:sz w:val="21"/>
          <w:szCs w:val="21"/>
          <w:lang w:val="en-GB"/>
        </w:rPr>
        <w:t>” by the Procuring Entity.</w:t>
      </w:r>
    </w:p>
    <w:p>
      <w:pPr>
        <w:pStyle w:val="Normal"/>
        <w:jc w:val="both"/>
        <w:rPr>
          <w:rFonts w:ascii="Arial" w:hAnsi="Arial" w:cs="Arial"/>
          <w:sz w:val="21"/>
          <w:szCs w:val="21"/>
          <w:lang w:val="en-GB"/>
        </w:rPr>
      </w:pPr>
      <w:r>
        <w:rPr>
          <w:rFonts w:cs="Arial" w:ascii="Arial" w:hAnsi="Arial"/>
          <w:sz w:val="21"/>
          <w:szCs w:val="21"/>
          <w:lang w:val="en-GB"/>
        </w:rPr>
      </w:r>
    </w:p>
    <w:p>
      <w:pPr>
        <w:pStyle w:val="Normal"/>
        <w:jc w:val="both"/>
        <w:rPr>
          <w:rFonts w:ascii="Arial" w:hAnsi="Arial" w:eastAsia="Times New Roman" w:cs="Arial"/>
          <w:spacing w:val="-4"/>
          <w:sz w:val="21"/>
          <w:szCs w:val="21"/>
          <w:lang w:val="en-GB" w:eastAsia="en-US"/>
        </w:rPr>
      </w:pPr>
      <w:r>
        <w:rPr>
          <w:rFonts w:eastAsia="Times New Roman" w:cs="Arial" w:ascii="Arial" w:hAnsi="Arial"/>
          <w:spacing w:val="-4"/>
          <w:sz w:val="21"/>
          <w:szCs w:val="21"/>
          <w:lang w:val="en-GB" w:eastAsia="en-US"/>
        </w:rPr>
      </w:r>
    </w:p>
    <w:p>
      <w:pPr>
        <w:pStyle w:val="Normal"/>
        <w:jc w:val="both"/>
        <w:rPr>
          <w:rFonts w:ascii="Arial" w:hAnsi="Arial" w:cs="Arial"/>
          <w:sz w:val="21"/>
          <w:szCs w:val="21"/>
          <w:lang w:val="en-GB"/>
        </w:rPr>
      </w:pPr>
      <w:r>
        <w:rPr>
          <w:rFonts w:cs="Arial" w:ascii="Arial" w:hAnsi="Arial"/>
          <w:sz w:val="21"/>
          <w:szCs w:val="21"/>
          <w:lang w:val="en-GB"/>
        </w:rPr>
        <w:t>In witness whereof, authorised representative of the Bank has hereunto signed and sealed this Letter of Commitment.</w:t>
      </w:r>
    </w:p>
    <w:p>
      <w:pPr>
        <w:pStyle w:val="Normal"/>
        <w:jc w:val="both"/>
        <w:rPr>
          <w:rFonts w:ascii="Arial" w:hAnsi="Arial" w:cs="Arial"/>
          <w:sz w:val="21"/>
          <w:szCs w:val="21"/>
          <w:lang w:val="en-GB"/>
        </w:rPr>
      </w:pPr>
      <w:r>
        <w:rPr>
          <w:rFonts w:cs="Arial" w:ascii="Arial" w:hAnsi="Arial"/>
          <w:sz w:val="21"/>
          <w:szCs w:val="21"/>
          <w:lang w:val="en-GB"/>
        </w:rPr>
      </w:r>
    </w:p>
    <w:p>
      <w:pPr>
        <w:pStyle w:val="Normal"/>
        <w:jc w:val="both"/>
        <w:rPr>
          <w:rFonts w:ascii="Arial" w:hAnsi="Arial" w:cs="Arial"/>
          <w:sz w:val="21"/>
          <w:szCs w:val="21"/>
          <w:lang w:val="en-GB"/>
        </w:rPr>
      </w:pPr>
      <w:r>
        <w:rPr>
          <w:rFonts w:cs="Arial" w:ascii="Arial" w:hAnsi="Arial"/>
          <w:sz w:val="21"/>
          <w:szCs w:val="21"/>
          <w:lang w:val="en-GB"/>
        </w:rPr>
      </w:r>
    </w:p>
    <w:p>
      <w:pPr>
        <w:pStyle w:val="Normal"/>
        <w:jc w:val="both"/>
        <w:rPr>
          <w:rFonts w:ascii="Arial" w:hAnsi="Arial" w:cs="Arial"/>
          <w:sz w:val="21"/>
          <w:szCs w:val="21"/>
          <w:lang w:val="en-GB"/>
        </w:rPr>
      </w:pPr>
      <w:r>
        <w:rPr>
          <w:rFonts w:cs="Arial" w:ascii="Arial" w:hAnsi="Arial"/>
          <w:sz w:val="21"/>
          <w:szCs w:val="21"/>
          <w:lang w:val="en-GB"/>
        </w:rPr>
      </w:r>
    </w:p>
    <w:tbl>
      <w:tblPr>
        <w:tblW w:w="9137"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4528"/>
        <w:gridCol w:w="4608"/>
      </w:tblGrid>
      <w:tr>
        <w:trPr/>
        <w:tc>
          <w:tcPr>
            <w:tcW w:w="4528" w:type="dxa"/>
            <w:tcBorders/>
          </w:tcPr>
          <w:p>
            <w:pPr>
              <w:pStyle w:val="Normal"/>
              <w:widowControl w:val="false"/>
              <w:jc w:val="both"/>
              <w:rPr>
                <w:rFonts w:ascii="Arial" w:hAnsi="Arial" w:cs="Arial"/>
                <w:sz w:val="5"/>
                <w:szCs w:val="21"/>
                <w:lang w:val="en-GB"/>
              </w:rPr>
            </w:pPr>
            <w:r>
              <w:rPr>
                <w:rFonts w:cs="Arial" w:ascii="Arial" w:hAnsi="Arial"/>
                <w:sz w:val="5"/>
                <w:szCs w:val="21"/>
                <w:lang w:val="en-GB"/>
              </w:rPr>
            </w:r>
          </w:p>
          <w:p>
            <w:pPr>
              <w:pStyle w:val="Normal"/>
              <w:widowControl w:val="false"/>
              <w:jc w:val="both"/>
              <w:rPr>
                <w:rFonts w:ascii="Arial" w:hAnsi="Arial" w:cs="Arial"/>
                <w:sz w:val="21"/>
                <w:szCs w:val="21"/>
                <w:lang w:val="en-GB"/>
              </w:rPr>
            </w:pPr>
            <w:r>
              <w:rPr>
                <w:rFonts w:cs="Arial" w:ascii="Arial" w:hAnsi="Arial"/>
                <w:sz w:val="21"/>
                <w:szCs w:val="21"/>
                <w:lang w:val="en-GB"/>
              </w:rPr>
            </w:r>
          </w:p>
          <w:p>
            <w:pPr>
              <w:pStyle w:val="Normal"/>
              <w:widowControl w:val="false"/>
              <w:jc w:val="both"/>
              <w:rPr>
                <w:rFonts w:ascii="Arial" w:hAnsi="Arial" w:cs="Arial"/>
                <w:sz w:val="21"/>
                <w:szCs w:val="21"/>
                <w:lang w:val="en-GB"/>
              </w:rPr>
            </w:pPr>
            <w:r>
              <w:rPr>
                <w:rFonts w:cs="Arial" w:ascii="Arial" w:hAnsi="Arial"/>
                <w:sz w:val="21"/>
                <w:szCs w:val="21"/>
                <w:lang w:val="en-GB"/>
              </w:rPr>
              <w:t>Signature</w:t>
            </w:r>
          </w:p>
        </w:tc>
        <w:tc>
          <w:tcPr>
            <w:tcW w:w="4608" w:type="dxa"/>
            <w:tcBorders/>
          </w:tcPr>
          <w:p>
            <w:pPr>
              <w:pStyle w:val="Normal"/>
              <w:widowControl w:val="false"/>
              <w:jc w:val="both"/>
              <w:rPr>
                <w:rFonts w:ascii="Arial" w:hAnsi="Arial" w:cs="Arial"/>
                <w:sz w:val="7"/>
                <w:szCs w:val="21"/>
                <w:lang w:val="en-GB"/>
              </w:rPr>
            </w:pPr>
            <w:r>
              <w:rPr>
                <w:rFonts w:cs="Arial" w:ascii="Arial" w:hAnsi="Arial"/>
                <w:sz w:val="7"/>
                <w:szCs w:val="21"/>
                <w:lang w:val="en-GB"/>
              </w:rPr>
            </w:r>
          </w:p>
          <w:p>
            <w:pPr>
              <w:pStyle w:val="Normal"/>
              <w:widowControl w:val="false"/>
              <w:jc w:val="both"/>
              <w:rPr>
                <w:rFonts w:ascii="Arial" w:hAnsi="Arial" w:cs="Arial"/>
                <w:sz w:val="21"/>
                <w:szCs w:val="21"/>
                <w:lang w:val="en-GB"/>
              </w:rPr>
            </w:pPr>
            <w:r>
              <w:rPr>
                <w:rFonts w:cs="Arial" w:ascii="Arial" w:hAnsi="Arial"/>
                <w:sz w:val="21"/>
                <w:szCs w:val="21"/>
                <w:lang w:val="en-GB"/>
              </w:rPr>
            </w:r>
          </w:p>
          <w:p>
            <w:pPr>
              <w:pStyle w:val="Normal"/>
              <w:widowControl w:val="false"/>
              <w:jc w:val="both"/>
              <w:rPr>
                <w:rFonts w:ascii="Arial" w:hAnsi="Arial" w:cs="Arial"/>
                <w:sz w:val="21"/>
                <w:szCs w:val="21"/>
                <w:lang w:val="en-GB"/>
              </w:rPr>
            </w:pPr>
            <w:r>
              <w:rPr>
                <w:rFonts w:cs="Arial" w:ascii="Arial" w:hAnsi="Arial"/>
                <w:sz w:val="21"/>
                <w:szCs w:val="21"/>
                <w:lang w:val="en-GB"/>
              </w:rPr>
              <w:t>Signature</w:t>
            </w:r>
          </w:p>
        </w:tc>
      </w:tr>
    </w:tbl>
    <w:p>
      <w:pPr>
        <w:pStyle w:val="Normal"/>
        <w:rPr>
          <w:rFonts w:ascii="Arial" w:hAnsi="Arial" w:cs="Arial"/>
          <w:sz w:val="18"/>
          <w:lang w:val="en-GB"/>
        </w:rPr>
      </w:pPr>
      <w:r>
        <w:rPr>
          <w:rFonts w:cs="Arial" w:ascii="Arial" w:hAnsi="Arial"/>
          <w:sz w:val="18"/>
          <w:lang w:val="en-GB"/>
        </w:rPr>
      </w:r>
    </w:p>
    <w:p>
      <w:pPr>
        <w:pStyle w:val="Heading4"/>
        <w:jc w:val="center"/>
        <w:rPr>
          <w:b/>
          <w:b/>
          <w:bCs/>
          <w:sz w:val="32"/>
          <w:szCs w:val="32"/>
          <w:lang w:val="en-GB"/>
        </w:rPr>
      </w:pPr>
      <w:r>
        <w:rPr>
          <w:b/>
          <w:bCs/>
          <w:sz w:val="32"/>
          <w:szCs w:val="32"/>
          <w:lang w:val="en-GB"/>
        </w:rPr>
      </w:r>
    </w:p>
    <w:p>
      <w:pPr>
        <w:pStyle w:val="Normal"/>
        <w:jc w:val="both"/>
        <w:rPr>
          <w:rFonts w:ascii="Arial" w:hAnsi="Arial" w:cs="Arial"/>
          <w:lang w:val="en-GB"/>
        </w:rPr>
      </w:pPr>
      <w:r>
        <w:rPr>
          <w:rFonts w:cs="Arial" w:ascii="Arial" w:hAnsi="Arial"/>
          <w:lang w:val="en-GB"/>
        </w:rPr>
      </w:r>
      <w:r>
        <w:br w:type="page"/>
      </w:r>
    </w:p>
    <w:p>
      <w:pPr>
        <w:pStyle w:val="Heading2"/>
        <w:rPr>
          <w:lang w:val="en-GB"/>
        </w:rPr>
      </w:pPr>
      <w:bookmarkStart w:id="807" w:name="_Toc421454333"/>
      <w:bookmarkStart w:id="808" w:name="_Toc50275653"/>
      <w:r>
        <w:rPr>
          <w:rFonts w:ascii="Arial" w:hAnsi="Arial"/>
          <w:lang w:val="en-GB"/>
        </w:rPr>
        <w:t>Notification of Award (Form PG3 - 9)</w:t>
      </w:r>
      <w:bookmarkEnd w:id="807"/>
      <w:bookmarkEnd w:id="808"/>
    </w:p>
    <w:p>
      <w:pPr>
        <w:pStyle w:val="Normal"/>
        <w:rPr>
          <w:rFonts w:cs="Arial"/>
          <w:sz w:val="22"/>
          <w:szCs w:val="22"/>
        </w:rPr>
      </w:pPr>
      <w:r>
        <w:rPr>
          <w:rFonts w:cs="Arial"/>
          <w:sz w:val="22"/>
          <w:szCs w:val="22"/>
        </w:rPr>
      </w:r>
    </w:p>
    <w:tbl>
      <w:tblPr>
        <w:tblW w:w="9000" w:type="dxa"/>
        <w:jc w:val="left"/>
        <w:tblInd w:w="109" w:type="dxa"/>
        <w:tblLayout w:type="fixed"/>
        <w:tblCellMar>
          <w:top w:w="0" w:type="dxa"/>
          <w:left w:w="108" w:type="dxa"/>
          <w:bottom w:w="0" w:type="dxa"/>
          <w:right w:w="108" w:type="dxa"/>
        </w:tblCellMar>
        <w:tblLook w:val="01e0" w:noHBand="0" w:noVBand="0" w:firstColumn="1" w:lastRow="1" w:lastColumn="1" w:firstRow="1"/>
      </w:tblPr>
      <w:tblGrid>
        <w:gridCol w:w="4512"/>
        <w:gridCol w:w="4487"/>
      </w:tblGrid>
      <w:tr>
        <w:trPr/>
        <w:tc>
          <w:tcPr>
            <w:tcW w:w="4512" w:type="dxa"/>
            <w:tcBorders/>
            <w:shd w:color="auto" w:fill="auto" w:val="clear"/>
          </w:tcPr>
          <w:p>
            <w:pPr>
              <w:pStyle w:val="Normal"/>
              <w:widowControl w:val="false"/>
              <w:rPr>
                <w:rFonts w:ascii="Arial" w:hAnsi="Arial" w:cs="Arial"/>
                <w:sz w:val="22"/>
                <w:szCs w:val="22"/>
                <w:lang w:eastAsia="en-US"/>
              </w:rPr>
            </w:pPr>
            <w:r>
              <w:rPr>
                <w:rFonts w:cs="Arial" w:ascii="Arial" w:hAnsi="Arial"/>
                <w:sz w:val="22"/>
                <w:szCs w:val="22"/>
                <w:lang w:eastAsia="en-US"/>
              </w:rPr>
              <w:t>Contract No:</w:t>
            </w:r>
          </w:p>
        </w:tc>
        <w:tc>
          <w:tcPr>
            <w:tcW w:w="4487" w:type="dxa"/>
            <w:tcBorders/>
            <w:shd w:color="auto" w:fill="auto" w:val="clear"/>
          </w:tcPr>
          <w:p>
            <w:pPr>
              <w:pStyle w:val="Normal"/>
              <w:widowControl w:val="false"/>
              <w:rPr>
                <w:rFonts w:ascii="Arial" w:hAnsi="Arial" w:cs="Arial"/>
                <w:sz w:val="22"/>
                <w:szCs w:val="22"/>
                <w:lang w:eastAsia="en-US"/>
              </w:rPr>
            </w:pPr>
            <w:r>
              <w:rPr>
                <w:rFonts w:cs="Arial" w:ascii="Arial" w:hAnsi="Arial"/>
                <w:sz w:val="22"/>
                <w:szCs w:val="22"/>
                <w:lang w:eastAsia="en-US"/>
              </w:rPr>
              <w:t>Date:</w:t>
            </w:r>
          </w:p>
          <w:p>
            <w:pPr>
              <w:pStyle w:val="Normal"/>
              <w:widowControl w:val="false"/>
              <w:rPr>
                <w:rFonts w:ascii="Arial" w:hAnsi="Arial" w:cs="Arial"/>
                <w:sz w:val="22"/>
                <w:szCs w:val="22"/>
                <w:lang w:eastAsia="en-US"/>
              </w:rPr>
            </w:pPr>
            <w:r>
              <w:rPr>
                <w:rFonts w:cs="Arial" w:ascii="Arial" w:hAnsi="Arial"/>
                <w:sz w:val="22"/>
                <w:szCs w:val="22"/>
                <w:lang w:eastAsia="en-US"/>
              </w:rPr>
            </w:r>
          </w:p>
        </w:tc>
      </w:tr>
      <w:tr>
        <w:trPr>
          <w:trHeight w:val="1472" w:hRule="atLeast"/>
        </w:trPr>
        <w:tc>
          <w:tcPr>
            <w:tcW w:w="4512" w:type="dxa"/>
            <w:tcBorders/>
            <w:shd w:color="auto" w:fill="auto" w:val="clear"/>
          </w:tcPr>
          <w:p>
            <w:pPr>
              <w:pStyle w:val="Normal"/>
              <w:widowControl w:val="false"/>
              <w:rPr>
                <w:rFonts w:ascii="Arial" w:hAnsi="Arial" w:cs="Arial"/>
                <w:sz w:val="22"/>
                <w:szCs w:val="22"/>
                <w:lang w:eastAsia="en-US"/>
              </w:rPr>
            </w:pPr>
            <w:r>
              <w:rPr>
                <w:rFonts w:cs="Arial" w:ascii="Arial" w:hAnsi="Arial"/>
                <w:sz w:val="22"/>
                <w:szCs w:val="22"/>
                <w:lang w:eastAsia="en-US"/>
              </w:rPr>
              <w:t>To:</w:t>
            </w:r>
          </w:p>
          <w:p>
            <w:pPr>
              <w:pStyle w:val="Normal"/>
              <w:widowControl w:val="false"/>
              <w:rPr>
                <w:rFonts w:ascii="Arial" w:hAnsi="Arial" w:cs="Arial"/>
                <w:sz w:val="22"/>
                <w:szCs w:val="22"/>
                <w:lang w:eastAsia="en-US"/>
              </w:rPr>
            </w:pPr>
            <w:r>
              <w:rPr>
                <w:rFonts w:cs="Arial" w:ascii="Arial" w:hAnsi="Arial"/>
                <w:sz w:val="22"/>
                <w:szCs w:val="22"/>
                <w:lang w:eastAsia="en-US"/>
              </w:rPr>
            </w:r>
          </w:p>
          <w:p>
            <w:pPr>
              <w:pStyle w:val="Normal"/>
              <w:widowControl w:val="false"/>
              <w:rPr>
                <w:rFonts w:ascii="Arial" w:hAnsi="Arial" w:cs="Arial"/>
                <w:i/>
                <w:i/>
                <w:iCs/>
                <w:sz w:val="22"/>
                <w:szCs w:val="22"/>
                <w:lang w:eastAsia="en-US"/>
              </w:rPr>
            </w:pPr>
            <w:r>
              <w:rPr>
                <w:rFonts w:cs="Arial" w:ascii="Arial" w:hAnsi="Arial"/>
                <w:i/>
                <w:iCs/>
                <w:sz w:val="22"/>
                <w:szCs w:val="22"/>
                <w:lang w:eastAsia="en-US"/>
              </w:rPr>
              <w:t>[Name of Contractor]</w:t>
            </w:r>
          </w:p>
          <w:p>
            <w:pPr>
              <w:pStyle w:val="Normal"/>
              <w:widowControl w:val="false"/>
              <w:rPr>
                <w:rFonts w:ascii="Arial" w:hAnsi="Arial" w:cs="Arial"/>
                <w:sz w:val="22"/>
                <w:szCs w:val="22"/>
                <w:lang w:eastAsia="en-US"/>
              </w:rPr>
            </w:pPr>
            <w:r>
              <w:rPr>
                <w:rFonts w:cs="Arial" w:ascii="Arial" w:hAnsi="Arial"/>
                <w:sz w:val="22"/>
                <w:szCs w:val="22"/>
                <w:lang w:eastAsia="en-US"/>
              </w:rPr>
            </w:r>
          </w:p>
        </w:tc>
        <w:tc>
          <w:tcPr>
            <w:tcW w:w="4487" w:type="dxa"/>
            <w:tcBorders/>
            <w:shd w:color="auto" w:fill="auto" w:val="clear"/>
          </w:tcPr>
          <w:p>
            <w:pPr>
              <w:pStyle w:val="Normal"/>
              <w:widowControl w:val="false"/>
              <w:rPr>
                <w:rFonts w:ascii="Arial" w:hAnsi="Arial" w:cs="Arial"/>
                <w:sz w:val="22"/>
                <w:szCs w:val="22"/>
                <w:lang w:eastAsia="en-US"/>
              </w:rPr>
            </w:pPr>
            <w:r>
              <w:rPr>
                <w:rFonts w:cs="Arial" w:ascii="Arial" w:hAnsi="Arial"/>
                <w:sz w:val="22"/>
                <w:szCs w:val="22"/>
                <w:lang w:eastAsia="en-US"/>
              </w:rPr>
            </w:r>
          </w:p>
        </w:tc>
      </w:tr>
    </w:tbl>
    <w:p>
      <w:pPr>
        <w:pStyle w:val="Normal"/>
        <w:rPr>
          <w:rFonts w:ascii="Arial" w:hAnsi="Arial" w:cs="Arial"/>
          <w:sz w:val="22"/>
          <w:szCs w:val="22"/>
        </w:rPr>
      </w:pPr>
      <w:r>
        <w:rPr>
          <w:rFonts w:cs="Arial" w:ascii="Arial" w:hAnsi="Arial"/>
          <w:sz w:val="22"/>
          <w:szCs w:val="22"/>
        </w:rPr>
      </w:r>
    </w:p>
    <w:p>
      <w:pPr>
        <w:pStyle w:val="Normal"/>
        <w:ind w:right="389" w:hanging="0"/>
        <w:rPr>
          <w:rFonts w:ascii="Arial" w:hAnsi="Arial" w:cs="Arial"/>
          <w:i/>
          <w:i/>
          <w:iCs/>
          <w:sz w:val="22"/>
          <w:szCs w:val="22"/>
        </w:rPr>
      </w:pPr>
      <w:r>
        <w:rPr>
          <w:rFonts w:cs="Arial" w:ascii="Arial" w:hAnsi="Arial"/>
          <w:sz w:val="22"/>
          <w:szCs w:val="22"/>
        </w:rPr>
        <w:t xml:space="preserve">This is to notify you that your Tender dated </w:t>
      </w:r>
      <w:r>
        <w:rPr>
          <w:rFonts w:cs="Arial" w:ascii="Arial" w:hAnsi="Arial"/>
          <w:i/>
          <w:iCs/>
          <w:sz w:val="22"/>
          <w:szCs w:val="22"/>
        </w:rPr>
        <w:t>[insert date]</w:t>
      </w:r>
      <w:r>
        <w:rPr>
          <w:rFonts w:cs="Arial" w:ascii="Arial" w:hAnsi="Arial"/>
          <w:sz w:val="22"/>
          <w:szCs w:val="22"/>
          <w:u w:val="single"/>
        </w:rPr>
        <w:t xml:space="preserve"> for the supply of Goods and related Services  </w:t>
      </w:r>
      <w:r>
        <w:rPr>
          <w:rFonts w:cs="Arial" w:ascii="Arial" w:hAnsi="Arial"/>
          <w:sz w:val="22"/>
          <w:szCs w:val="22"/>
        </w:rPr>
        <w:t xml:space="preserve">for </w:t>
      </w:r>
      <w:r>
        <w:rPr>
          <w:rFonts w:cs="Arial" w:ascii="Arial" w:hAnsi="Arial"/>
          <w:i/>
          <w:iCs/>
          <w:sz w:val="22"/>
          <w:szCs w:val="22"/>
        </w:rPr>
        <w:t>[name of contract]</w:t>
      </w:r>
      <w:r>
        <w:rPr>
          <w:rFonts w:cs="Arial" w:ascii="Arial" w:hAnsi="Arial"/>
          <w:sz w:val="22"/>
          <w:szCs w:val="22"/>
        </w:rPr>
        <w:t xml:space="preserve"> for the Contract Price</w:t>
      </w:r>
      <w:r>
        <w:fldChar w:fldCharType="begin"/>
      </w:r>
      <w:r>
        <w:rPr>
          <w:sz w:val="22"/>
          <w:szCs w:val="22"/>
          <w:rFonts w:cs="Arial" w:ascii="Arial" w:hAnsi="Arial"/>
        </w:rPr>
        <w:instrText> XE "Contract Price: : " </w:instrText>
      </w:r>
      <w:r>
        <w:rPr>
          <w:sz w:val="22"/>
          <w:szCs w:val="22"/>
          <w:rFonts w:cs="Arial" w:ascii="Arial" w:hAnsi="Arial"/>
        </w:rPr>
        <w:fldChar w:fldCharType="separate"/>
      </w:r>
      <w:r>
        <w:rPr>
          <w:rFonts w:cs="Arial" w:ascii="Arial" w:hAnsi="Arial"/>
          <w:sz w:val="22"/>
          <w:szCs w:val="22"/>
        </w:rPr>
      </w:r>
      <w:r>
        <w:rPr>
          <w:sz w:val="22"/>
          <w:szCs w:val="22"/>
          <w:rFonts w:cs="Arial" w:ascii="Arial" w:hAnsi="Arial"/>
        </w:rPr>
        <w:fldChar w:fldCharType="end"/>
      </w:r>
      <w:r>
        <w:rPr>
          <w:rFonts w:cs="Arial" w:ascii="Arial" w:hAnsi="Arial"/>
          <w:sz w:val="22"/>
          <w:szCs w:val="22"/>
        </w:rPr>
        <w:t xml:space="preserve"> of Tk </w:t>
      </w:r>
      <w:r>
        <w:rPr>
          <w:rFonts w:cs="Arial" w:ascii="Arial" w:hAnsi="Arial"/>
          <w:i/>
          <w:iCs/>
          <w:sz w:val="22"/>
          <w:szCs w:val="22"/>
        </w:rPr>
        <w:t>[state amount in figures and in words]</w:t>
      </w:r>
      <w:r>
        <w:rPr>
          <w:rFonts w:cs="Arial" w:ascii="Arial" w:hAnsi="Arial"/>
          <w:sz w:val="22"/>
          <w:szCs w:val="22"/>
        </w:rPr>
        <w:t xml:space="preserve"> as corrected and modified in accordance with the Instructions to Tenderers, has been approved by </w:t>
      </w:r>
      <w:r>
        <w:rPr>
          <w:rFonts w:cs="Arial" w:ascii="Arial" w:hAnsi="Arial"/>
          <w:i/>
          <w:iCs/>
          <w:sz w:val="22"/>
          <w:szCs w:val="22"/>
        </w:rPr>
        <w:t>[name of Procuring Entity].</w:t>
      </w:r>
    </w:p>
    <w:p>
      <w:pPr>
        <w:pStyle w:val="Normal"/>
        <w:ind w:right="389" w:hanging="0"/>
        <w:rPr>
          <w:rFonts w:ascii="Arial" w:hAnsi="Arial" w:cs="Arial"/>
          <w:sz w:val="22"/>
          <w:szCs w:val="22"/>
        </w:rPr>
      </w:pPr>
      <w:r>
        <w:rPr>
          <w:rFonts w:cs="Arial" w:ascii="Arial" w:hAnsi="Arial"/>
          <w:sz w:val="22"/>
          <w:szCs w:val="22"/>
        </w:rPr>
      </w:r>
    </w:p>
    <w:p>
      <w:pPr>
        <w:pStyle w:val="Normal"/>
        <w:ind w:right="389" w:hanging="0"/>
        <w:rPr>
          <w:rFonts w:ascii="Arial" w:hAnsi="Arial" w:cs="Arial"/>
          <w:sz w:val="22"/>
          <w:szCs w:val="22"/>
        </w:rPr>
      </w:pPr>
      <w:r>
        <w:rPr>
          <w:rFonts w:cs="Arial" w:ascii="Arial" w:hAnsi="Arial"/>
          <w:sz w:val="22"/>
          <w:szCs w:val="22"/>
        </w:rPr>
        <w:t>You are thus requested to take following actions:</w:t>
      </w:r>
    </w:p>
    <w:p>
      <w:pPr>
        <w:pStyle w:val="Normal"/>
        <w:keepNext w:val="true"/>
        <w:keepLines/>
        <w:numPr>
          <w:ilvl w:val="2"/>
          <w:numId w:val="155"/>
        </w:numPr>
        <w:tabs>
          <w:tab w:val="clear" w:pos="720"/>
          <w:tab w:val="left" w:pos="1440" w:leader="none"/>
        </w:tabs>
        <w:spacing w:before="120" w:after="120"/>
        <w:ind w:left="1440" w:right="389" w:hanging="720"/>
        <w:jc w:val="both"/>
        <w:rPr>
          <w:rFonts w:ascii="Arial" w:hAnsi="Arial" w:cs="Arial"/>
          <w:sz w:val="22"/>
          <w:szCs w:val="22"/>
        </w:rPr>
      </w:pPr>
      <w:r>
        <w:rPr>
          <w:rFonts w:cs="Arial" w:ascii="Arial" w:hAnsi="Arial"/>
          <w:sz w:val="22"/>
          <w:szCs w:val="22"/>
        </w:rPr>
        <w:t>accept in writing the Notification of Award within seven (7) working days of its issuance pursuant to ITT Sub-Clause 61.3</w:t>
      </w:r>
    </w:p>
    <w:p>
      <w:pPr>
        <w:pStyle w:val="SubClauseText"/>
        <w:keepNext w:val="true"/>
        <w:keepLines/>
        <w:numPr>
          <w:ilvl w:val="2"/>
          <w:numId w:val="156"/>
        </w:numPr>
        <w:tabs>
          <w:tab w:val="clear" w:pos="720"/>
          <w:tab w:val="left" w:pos="1440" w:leader="none"/>
        </w:tabs>
        <w:ind w:left="1440" w:right="389" w:hanging="720"/>
        <w:rPr>
          <w:rFonts w:ascii="Arial" w:hAnsi="Arial" w:cs="Arial"/>
          <w:sz w:val="22"/>
          <w:szCs w:val="22"/>
          <w:lang w:val="en-GB"/>
        </w:rPr>
      </w:pPr>
      <w:r>
        <w:rPr>
          <w:rFonts w:cs="Arial" w:ascii="Arial" w:hAnsi="Arial"/>
          <w:sz w:val="22"/>
          <w:szCs w:val="22"/>
          <w:lang w:val="en-GB"/>
        </w:rPr>
        <w:t>furnish a Performance Security</w:t>
      </w:r>
      <w:r>
        <w:fldChar w:fldCharType="begin"/>
      </w:r>
      <w:r>
        <w:rPr>
          <w:sz w:val="22"/>
          <w:szCs w:val="22"/>
          <w:rFonts w:cs="Arial" w:ascii="Arial" w:hAnsi="Arial"/>
          <w:lang w:val="en-GB"/>
        </w:rPr>
        <w:instrText> XE "Performance Security: : " </w:instrText>
      </w:r>
      <w:r>
        <w:rPr>
          <w:sz w:val="22"/>
          <w:szCs w:val="22"/>
          <w:rFonts w:cs="Arial" w:ascii="Arial" w:hAnsi="Arial"/>
          <w:lang w:val="en-GB"/>
        </w:rPr>
        <w:fldChar w:fldCharType="separate"/>
      </w:r>
      <w:r>
        <w:rPr>
          <w:rFonts w:cs="Arial" w:ascii="Arial" w:hAnsi="Arial"/>
          <w:sz w:val="22"/>
          <w:szCs w:val="22"/>
          <w:lang w:val="en-GB"/>
        </w:rPr>
      </w:r>
      <w:r>
        <w:rPr>
          <w:sz w:val="22"/>
          <w:szCs w:val="22"/>
          <w:rFonts w:cs="Arial" w:ascii="Arial" w:hAnsi="Arial"/>
          <w:lang w:val="en-GB"/>
        </w:rPr>
        <w:fldChar w:fldCharType="end"/>
      </w:r>
      <w:r>
        <w:rPr>
          <w:rFonts w:cs="Arial" w:ascii="Arial" w:hAnsi="Arial"/>
          <w:sz w:val="22"/>
          <w:szCs w:val="22"/>
          <w:lang w:val="en-GB"/>
        </w:rPr>
        <w:t xml:space="preserve"> in the specified format  and in the amount of Tk </w:t>
      </w:r>
      <w:r>
        <w:rPr>
          <w:rFonts w:cs="Arial" w:ascii="Arial" w:hAnsi="Arial"/>
          <w:i/>
          <w:iCs/>
          <w:sz w:val="22"/>
          <w:szCs w:val="22"/>
          <w:lang w:val="en-GB"/>
        </w:rPr>
        <w:t>[state amount in figures and words] ,</w:t>
      </w:r>
      <w:r>
        <w:rPr>
          <w:rFonts w:cs="Arial" w:ascii="Arial" w:hAnsi="Arial"/>
          <w:sz w:val="22"/>
          <w:szCs w:val="22"/>
          <w:lang w:val="en-GB"/>
        </w:rPr>
        <w:t xml:space="preserve">within fourteen (14)days of receipt of this Notification of Award but not later than </w:t>
      </w:r>
      <w:r>
        <w:rPr>
          <w:rFonts w:cs="Arial" w:ascii="Arial" w:hAnsi="Arial"/>
          <w:i/>
          <w:iCs/>
          <w:sz w:val="22"/>
          <w:szCs w:val="22"/>
          <w:u w:val="single"/>
          <w:lang w:val="en-GB"/>
        </w:rPr>
        <w:t>(specify date),</w:t>
      </w:r>
      <w:r>
        <w:rPr>
          <w:rFonts w:cs="Arial" w:ascii="Arial" w:hAnsi="Arial"/>
          <w:sz w:val="22"/>
          <w:szCs w:val="22"/>
          <w:lang w:val="en-GB"/>
        </w:rPr>
        <w:t xml:space="preserve"> in accordance with ITT Clause 63.2</w:t>
      </w:r>
    </w:p>
    <w:p>
      <w:pPr>
        <w:pStyle w:val="SubClauseText"/>
        <w:keepNext w:val="true"/>
        <w:keepLines/>
        <w:numPr>
          <w:ilvl w:val="2"/>
          <w:numId w:val="157"/>
        </w:numPr>
        <w:tabs>
          <w:tab w:val="clear" w:pos="720"/>
          <w:tab w:val="left" w:pos="1440" w:leader="none"/>
        </w:tabs>
        <w:ind w:left="1440" w:right="389" w:hanging="720"/>
        <w:rPr>
          <w:rFonts w:ascii="Arial" w:hAnsi="Arial" w:cs="Arial"/>
          <w:sz w:val="22"/>
          <w:szCs w:val="22"/>
          <w:lang w:val="en-GB"/>
        </w:rPr>
      </w:pPr>
      <w:r>
        <w:rPr>
          <w:rFonts w:cs="Arial" w:ascii="Arial" w:hAnsi="Arial"/>
          <w:sz w:val="22"/>
          <w:szCs w:val="22"/>
          <w:lang w:val="en-GB"/>
        </w:rPr>
        <w:t xml:space="preserve">sign the Contract within twenty-eight (28 )days of issuance of this Notification of Award but not later than </w:t>
      </w:r>
      <w:r>
        <w:rPr>
          <w:rFonts w:cs="Arial" w:ascii="Arial" w:hAnsi="Arial"/>
          <w:i/>
          <w:iCs/>
          <w:sz w:val="22"/>
          <w:szCs w:val="22"/>
          <w:u w:val="single"/>
          <w:lang w:val="en-GB"/>
        </w:rPr>
        <w:t>(specify date),</w:t>
      </w:r>
      <w:r>
        <w:rPr>
          <w:rFonts w:cs="Arial" w:ascii="Arial" w:hAnsi="Arial"/>
          <w:sz w:val="22"/>
          <w:szCs w:val="22"/>
          <w:lang w:val="en-GB"/>
        </w:rPr>
        <w:t xml:space="preserve"> in accordance with ITT Clause 66.2</w:t>
      </w:r>
    </w:p>
    <w:p>
      <w:pPr>
        <w:pStyle w:val="SubClauseText"/>
        <w:keepNext w:val="true"/>
        <w:keepLines/>
        <w:tabs>
          <w:tab w:val="left" w:pos="720" w:leader="none"/>
        </w:tabs>
        <w:spacing w:before="60" w:after="60"/>
        <w:ind w:right="389" w:hanging="0"/>
        <w:rPr>
          <w:rFonts w:ascii="Arial" w:hAnsi="Arial" w:cs="Arial"/>
          <w:sz w:val="22"/>
          <w:szCs w:val="22"/>
          <w:lang w:val="en-GB"/>
        </w:rPr>
      </w:pPr>
      <w:r>
        <w:rPr>
          <w:rFonts w:cs="Arial" w:ascii="Arial" w:hAnsi="Arial"/>
          <w:sz w:val="22"/>
          <w:szCs w:val="22"/>
          <w:lang w:val="en-GB"/>
        </w:rPr>
      </w:r>
    </w:p>
    <w:p>
      <w:pPr>
        <w:pStyle w:val="SubClauseText"/>
        <w:keepNext w:val="true"/>
        <w:keepLines/>
        <w:tabs>
          <w:tab w:val="left" w:pos="720" w:leader="none"/>
        </w:tabs>
        <w:spacing w:before="60" w:after="60"/>
        <w:ind w:right="389" w:hanging="0"/>
        <w:rPr>
          <w:rFonts w:ascii="Arial" w:hAnsi="Arial" w:eastAsia="SimSun" w:cs="Arial"/>
          <w:spacing w:val="0"/>
          <w:sz w:val="22"/>
          <w:szCs w:val="22"/>
          <w:lang w:eastAsia="zh-CN"/>
        </w:rPr>
      </w:pPr>
      <w:r>
        <w:rPr>
          <w:rFonts w:eastAsia="SimSun" w:cs="Arial" w:ascii="Arial" w:hAnsi="Arial"/>
          <w:spacing w:val="0"/>
          <w:sz w:val="22"/>
          <w:szCs w:val="22"/>
          <w:lang w:eastAsia="zh-CN"/>
        </w:rPr>
        <w:t xml:space="preserve">You may proceed with the execution of the supply of Goods and related Services only upon completion of the above tasks. You may also please note that this Notification of Award shall constitute the formation of this Contract, which shall become binding upon you. </w:t>
      </w:r>
    </w:p>
    <w:p>
      <w:pPr>
        <w:pStyle w:val="Normal"/>
        <w:ind w:right="389" w:hanging="0"/>
        <w:rPr>
          <w:rFonts w:ascii="Arial" w:hAnsi="Arial" w:cs="Arial"/>
          <w:sz w:val="22"/>
          <w:szCs w:val="22"/>
        </w:rPr>
      </w:pPr>
      <w:r>
        <w:rPr>
          <w:rFonts w:cs="Arial" w:ascii="Arial" w:hAnsi="Arial"/>
          <w:sz w:val="22"/>
          <w:szCs w:val="22"/>
        </w:rPr>
      </w:r>
    </w:p>
    <w:p>
      <w:pPr>
        <w:pStyle w:val="Normal"/>
        <w:ind w:right="389" w:hanging="0"/>
        <w:rPr>
          <w:rFonts w:ascii="Arial" w:hAnsi="Arial" w:cs="Arial"/>
          <w:sz w:val="22"/>
          <w:szCs w:val="22"/>
        </w:rPr>
      </w:pPr>
      <w:r>
        <w:rPr>
          <w:rFonts w:cs="Arial" w:ascii="Arial" w:hAnsi="Arial"/>
          <w:sz w:val="22"/>
          <w:szCs w:val="22"/>
        </w:rPr>
        <w:t>We attach the draft Contract and all other documents for your perusal and signature.</w:t>
      </w:r>
    </w:p>
    <w:p>
      <w:pPr>
        <w:pStyle w:val="Normal"/>
        <w:ind w:right="389" w:hanging="0"/>
        <w:rPr>
          <w:rFonts w:ascii="Arial" w:hAnsi="Arial" w:cs="Arial"/>
          <w:sz w:val="22"/>
          <w:szCs w:val="22"/>
        </w:rPr>
      </w:pPr>
      <w:r>
        <w:rPr>
          <w:rFonts w:cs="Arial" w:ascii="Arial" w:hAnsi="Arial"/>
          <w:sz w:val="22"/>
          <w:szCs w:val="22"/>
        </w:rPr>
      </w:r>
    </w:p>
    <w:p>
      <w:pPr>
        <w:pStyle w:val="Normal"/>
        <w:ind w:right="389" w:hanging="0"/>
        <w:rPr>
          <w:rFonts w:ascii="Arial" w:hAnsi="Arial" w:cs="Arial"/>
          <w:sz w:val="22"/>
          <w:szCs w:val="22"/>
        </w:rPr>
      </w:pPr>
      <w:r>
        <w:rPr>
          <w:rFonts w:cs="Arial" w:ascii="Arial" w:hAnsi="Arial"/>
          <w:sz w:val="22"/>
          <w:szCs w:val="22"/>
        </w:rPr>
      </w:r>
    </w:p>
    <w:tbl>
      <w:tblPr>
        <w:tblW w:w="9000" w:type="dxa"/>
        <w:jc w:val="left"/>
        <w:tblInd w:w="109" w:type="dxa"/>
        <w:tblLayout w:type="fixed"/>
        <w:tblCellMar>
          <w:top w:w="0" w:type="dxa"/>
          <w:left w:w="108" w:type="dxa"/>
          <w:bottom w:w="0" w:type="dxa"/>
          <w:right w:w="108" w:type="dxa"/>
        </w:tblCellMar>
        <w:tblLook w:val="01e0" w:noHBand="0" w:noVBand="0" w:firstColumn="1" w:lastRow="1" w:lastColumn="1" w:firstRow="1"/>
      </w:tblPr>
      <w:tblGrid>
        <w:gridCol w:w="4512"/>
        <w:gridCol w:w="4487"/>
      </w:tblGrid>
      <w:tr>
        <w:trPr/>
        <w:tc>
          <w:tcPr>
            <w:tcW w:w="4512" w:type="dxa"/>
            <w:tcBorders/>
            <w:shd w:color="auto" w:fill="auto" w:val="clear"/>
          </w:tcPr>
          <w:p>
            <w:pPr>
              <w:pStyle w:val="Normal"/>
              <w:widowControl w:val="false"/>
              <w:ind w:right="389" w:hanging="0"/>
              <w:rPr>
                <w:rFonts w:ascii="Arial" w:hAnsi="Arial" w:cs="Arial"/>
                <w:sz w:val="22"/>
                <w:szCs w:val="22"/>
                <w:lang w:eastAsia="en-US"/>
              </w:rPr>
            </w:pPr>
            <w:r>
              <w:rPr>
                <w:rFonts w:cs="Arial" w:ascii="Arial" w:hAnsi="Arial"/>
                <w:sz w:val="22"/>
                <w:szCs w:val="22"/>
                <w:lang w:eastAsia="en-US"/>
              </w:rPr>
            </w:r>
          </w:p>
        </w:tc>
        <w:tc>
          <w:tcPr>
            <w:tcW w:w="4487" w:type="dxa"/>
            <w:tcBorders/>
            <w:shd w:color="auto" w:fill="auto" w:val="clear"/>
          </w:tcPr>
          <w:p>
            <w:pPr>
              <w:pStyle w:val="Normal"/>
              <w:widowControl w:val="false"/>
              <w:ind w:right="389" w:hanging="0"/>
              <w:rPr>
                <w:rFonts w:ascii="Arial" w:hAnsi="Arial" w:cs="Arial"/>
                <w:sz w:val="22"/>
                <w:szCs w:val="22"/>
                <w:lang w:eastAsia="en-US"/>
              </w:rPr>
            </w:pPr>
            <w:r>
              <w:rPr>
                <w:rFonts w:cs="Arial" w:ascii="Arial" w:hAnsi="Arial"/>
                <w:sz w:val="22"/>
                <w:szCs w:val="22"/>
                <w:lang w:eastAsia="en-US"/>
              </w:rPr>
            </w:r>
          </w:p>
          <w:p>
            <w:pPr>
              <w:pStyle w:val="Normal"/>
              <w:widowControl w:val="false"/>
              <w:ind w:right="389" w:hanging="0"/>
              <w:rPr>
                <w:rFonts w:ascii="Arial" w:hAnsi="Arial" w:cs="Arial"/>
                <w:sz w:val="22"/>
                <w:szCs w:val="22"/>
                <w:lang w:eastAsia="en-US"/>
              </w:rPr>
            </w:pPr>
            <w:r>
              <w:rPr>
                <w:rFonts w:cs="Arial" w:ascii="Arial" w:hAnsi="Arial"/>
                <w:sz w:val="22"/>
                <w:szCs w:val="22"/>
                <w:lang w:eastAsia="en-US"/>
              </w:rPr>
            </w:r>
          </w:p>
          <w:p>
            <w:pPr>
              <w:pStyle w:val="Normal"/>
              <w:widowControl w:val="false"/>
              <w:ind w:right="389" w:hanging="0"/>
              <w:rPr>
                <w:rFonts w:ascii="Arial" w:hAnsi="Arial" w:cs="Arial"/>
                <w:sz w:val="22"/>
                <w:szCs w:val="22"/>
                <w:lang w:eastAsia="en-US"/>
              </w:rPr>
            </w:pPr>
            <w:r>
              <w:rPr>
                <w:rFonts w:cs="Arial" w:ascii="Arial" w:hAnsi="Arial"/>
                <w:sz w:val="22"/>
                <w:szCs w:val="22"/>
                <w:lang w:eastAsia="en-US"/>
              </w:rPr>
              <w:t>Signed</w:t>
            </w:r>
          </w:p>
        </w:tc>
      </w:tr>
      <w:tr>
        <w:trPr/>
        <w:tc>
          <w:tcPr>
            <w:tcW w:w="4512" w:type="dxa"/>
            <w:tcBorders/>
            <w:shd w:color="auto" w:fill="auto" w:val="clear"/>
          </w:tcPr>
          <w:p>
            <w:pPr>
              <w:pStyle w:val="Normal"/>
              <w:widowControl w:val="false"/>
              <w:ind w:right="389" w:hanging="0"/>
              <w:rPr>
                <w:rFonts w:ascii="Arial" w:hAnsi="Arial" w:cs="Arial"/>
                <w:sz w:val="22"/>
                <w:szCs w:val="22"/>
                <w:lang w:eastAsia="en-US"/>
              </w:rPr>
            </w:pPr>
            <w:r>
              <w:rPr>
                <w:rFonts w:cs="Arial" w:ascii="Arial" w:hAnsi="Arial"/>
                <w:sz w:val="22"/>
                <w:szCs w:val="22"/>
                <w:lang w:eastAsia="en-US"/>
              </w:rPr>
            </w:r>
          </w:p>
        </w:tc>
        <w:tc>
          <w:tcPr>
            <w:tcW w:w="4487" w:type="dxa"/>
            <w:tcBorders/>
            <w:shd w:color="auto" w:fill="auto" w:val="clear"/>
          </w:tcPr>
          <w:p>
            <w:pPr>
              <w:pStyle w:val="Normal"/>
              <w:widowControl w:val="false"/>
              <w:ind w:right="389" w:hanging="0"/>
              <w:rPr>
                <w:rFonts w:ascii="Arial" w:hAnsi="Arial" w:cs="Arial"/>
                <w:sz w:val="22"/>
                <w:szCs w:val="22"/>
                <w:lang w:eastAsia="en-US"/>
              </w:rPr>
            </w:pPr>
            <w:r>
              <w:rPr>
                <w:rFonts w:cs="Arial" w:ascii="Arial" w:hAnsi="Arial"/>
                <w:sz w:val="22"/>
                <w:szCs w:val="22"/>
                <w:lang w:eastAsia="en-US"/>
              </w:rPr>
            </w:r>
          </w:p>
          <w:p>
            <w:pPr>
              <w:pStyle w:val="Normal"/>
              <w:widowControl w:val="false"/>
              <w:ind w:right="389" w:hanging="0"/>
              <w:rPr>
                <w:rFonts w:ascii="Arial" w:hAnsi="Arial" w:cs="Arial"/>
                <w:sz w:val="22"/>
                <w:szCs w:val="22"/>
                <w:lang w:eastAsia="en-US"/>
              </w:rPr>
            </w:pPr>
            <w:r>
              <w:rPr>
                <w:rFonts w:cs="Arial" w:ascii="Arial" w:hAnsi="Arial"/>
                <w:sz w:val="22"/>
                <w:szCs w:val="22"/>
                <w:lang w:eastAsia="en-US"/>
              </w:rPr>
              <w:t xml:space="preserve">Duly authorised to sign for and on behalf of </w:t>
            </w:r>
            <w:r>
              <w:rPr>
                <w:rFonts w:cs="Arial" w:ascii="Arial" w:hAnsi="Arial"/>
                <w:i/>
                <w:iCs/>
                <w:sz w:val="22"/>
                <w:szCs w:val="22"/>
                <w:lang w:eastAsia="en-US"/>
              </w:rPr>
              <w:t>[name of Procuring Entity]</w:t>
            </w:r>
          </w:p>
        </w:tc>
      </w:tr>
      <w:tr>
        <w:trPr/>
        <w:tc>
          <w:tcPr>
            <w:tcW w:w="4512" w:type="dxa"/>
            <w:tcBorders/>
            <w:shd w:color="auto" w:fill="auto" w:val="clear"/>
          </w:tcPr>
          <w:p>
            <w:pPr>
              <w:pStyle w:val="Normal"/>
              <w:widowControl w:val="false"/>
              <w:ind w:right="389" w:hanging="0"/>
              <w:rPr>
                <w:rFonts w:cs="Arial"/>
                <w:sz w:val="22"/>
                <w:szCs w:val="22"/>
                <w:lang w:eastAsia="en-US"/>
              </w:rPr>
            </w:pPr>
            <w:r>
              <w:rPr>
                <w:rFonts w:cs="Arial"/>
                <w:sz w:val="22"/>
                <w:szCs w:val="22"/>
                <w:lang w:eastAsia="en-US"/>
              </w:rPr>
            </w:r>
          </w:p>
        </w:tc>
        <w:tc>
          <w:tcPr>
            <w:tcW w:w="4487" w:type="dxa"/>
            <w:tcBorders/>
            <w:shd w:color="auto" w:fill="auto" w:val="clear"/>
          </w:tcPr>
          <w:p>
            <w:pPr>
              <w:pStyle w:val="Normal"/>
              <w:widowControl w:val="false"/>
              <w:ind w:right="389" w:hanging="0"/>
              <w:rPr>
                <w:rFonts w:cs="Arial"/>
                <w:sz w:val="22"/>
                <w:szCs w:val="22"/>
                <w:lang w:eastAsia="en-US"/>
              </w:rPr>
            </w:pPr>
            <w:r>
              <w:rPr>
                <w:rFonts w:cs="Arial"/>
                <w:sz w:val="22"/>
                <w:szCs w:val="22"/>
                <w:lang w:eastAsia="en-US"/>
              </w:rPr>
            </w:r>
          </w:p>
          <w:p>
            <w:pPr>
              <w:pStyle w:val="Normal"/>
              <w:widowControl w:val="false"/>
              <w:ind w:right="389" w:hanging="0"/>
              <w:rPr>
                <w:rFonts w:ascii="Arial" w:hAnsi="Arial" w:cs="Arial"/>
                <w:sz w:val="22"/>
                <w:szCs w:val="22"/>
                <w:lang w:eastAsia="en-US"/>
              </w:rPr>
            </w:pPr>
            <w:r>
              <w:rPr>
                <w:rFonts w:cs="Arial" w:ascii="Arial" w:hAnsi="Arial"/>
                <w:sz w:val="22"/>
                <w:szCs w:val="22"/>
                <w:lang w:eastAsia="en-US"/>
              </w:rPr>
              <w:t>Date:</w:t>
            </w:r>
          </w:p>
        </w:tc>
      </w:tr>
    </w:tbl>
    <w:p>
      <w:pPr>
        <w:pStyle w:val="Normal"/>
        <w:rPr>
          <w:sz w:val="22"/>
          <w:szCs w:val="22"/>
        </w:rPr>
      </w:pPr>
      <w:r>
        <w:rPr>
          <w:sz w:val="22"/>
          <w:szCs w:val="22"/>
        </w:rPr>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r>
      <w:r>
        <w:br w:type="page"/>
      </w:r>
    </w:p>
    <w:p>
      <w:pPr>
        <w:pStyle w:val="Heading2"/>
        <w:rPr>
          <w:rFonts w:ascii="Arial" w:hAnsi="Arial"/>
          <w:lang w:val="en-GB"/>
        </w:rPr>
      </w:pPr>
      <w:bookmarkStart w:id="809" w:name="_Toc421454334"/>
      <w:bookmarkStart w:id="810" w:name="_Toc50275654"/>
      <w:r>
        <w:rPr>
          <w:rFonts w:ascii="Arial" w:hAnsi="Arial"/>
          <w:lang w:val="en-GB"/>
        </w:rPr>
        <w:t>Contract Agreement (Form PG3 -10)</w:t>
      </w:r>
      <w:bookmarkEnd w:id="809"/>
      <w:bookmarkEnd w:id="810"/>
    </w:p>
    <w:p>
      <w:pPr>
        <w:pStyle w:val="Normal"/>
        <w:rPr>
          <w:lang w:val="en-GB" w:eastAsia="en-US"/>
        </w:rPr>
      </w:pPr>
      <w:r>
        <w:rPr>
          <w:lang w:val="en-GB" w:eastAsia="en-US"/>
        </w:rPr>
      </w:r>
    </w:p>
    <w:p>
      <w:pPr>
        <w:pStyle w:val="Normal"/>
        <w:jc w:val="both"/>
        <w:rPr>
          <w:rFonts w:ascii="Arial" w:hAnsi="Arial" w:cs="Arial"/>
          <w:sz w:val="22"/>
          <w:szCs w:val="22"/>
          <w:lang w:val="en-GB"/>
        </w:rPr>
      </w:pPr>
      <w:r>
        <w:rPr>
          <w:rFonts w:cs="Arial" w:ascii="Arial" w:hAnsi="Arial"/>
          <w:sz w:val="22"/>
          <w:szCs w:val="22"/>
          <w:lang w:val="en-GB"/>
        </w:rPr>
        <w:t xml:space="preserve">THIS AGREEMENT made the </w:t>
      </w:r>
      <w:r>
        <w:rPr>
          <w:rFonts w:cs="Arial" w:ascii="Arial" w:hAnsi="Arial"/>
          <w:i/>
          <w:iCs/>
          <w:sz w:val="22"/>
          <w:szCs w:val="22"/>
          <w:lang w:val="en-GB"/>
        </w:rPr>
        <w:t>[day]</w:t>
      </w:r>
      <w:r>
        <w:rPr>
          <w:rFonts w:cs="Arial" w:ascii="Arial" w:hAnsi="Arial"/>
          <w:sz w:val="22"/>
          <w:szCs w:val="22"/>
          <w:lang w:val="en-GB"/>
        </w:rPr>
        <w:t xml:space="preserve"> day of </w:t>
      </w:r>
      <w:r>
        <w:rPr>
          <w:rFonts w:cs="Arial" w:ascii="Arial" w:hAnsi="Arial"/>
          <w:i/>
          <w:iCs/>
          <w:sz w:val="22"/>
          <w:szCs w:val="22"/>
          <w:lang w:val="en-GB"/>
        </w:rPr>
        <w:t>[month][year]</w:t>
      </w:r>
      <w:r>
        <w:rPr>
          <w:rFonts w:cs="Arial" w:ascii="Arial" w:hAnsi="Arial"/>
          <w:sz w:val="22"/>
          <w:szCs w:val="22"/>
          <w:lang w:val="en-GB"/>
        </w:rPr>
        <w:t xml:space="preserve"> between </w:t>
      </w:r>
      <w:r>
        <w:rPr>
          <w:rFonts w:cs="Arial" w:ascii="Arial" w:hAnsi="Arial"/>
          <w:i/>
          <w:iCs/>
          <w:sz w:val="22"/>
          <w:szCs w:val="22"/>
          <w:lang w:val="en-GB"/>
        </w:rPr>
        <w:t>[name and address of Procuring Entity]</w:t>
      </w:r>
      <w:r>
        <w:rPr>
          <w:rFonts w:cs="Arial" w:ascii="Arial" w:hAnsi="Arial"/>
          <w:sz w:val="22"/>
          <w:szCs w:val="22"/>
          <w:lang w:val="en-GB"/>
        </w:rPr>
        <w:t xml:space="preserve"> (hereinafter called “the Procuring Entity”) of the one part and </w:t>
      </w:r>
      <w:r>
        <w:rPr>
          <w:rFonts w:cs="Arial" w:ascii="Arial" w:hAnsi="Arial"/>
          <w:i/>
          <w:iCs/>
          <w:sz w:val="22"/>
          <w:szCs w:val="22"/>
          <w:lang w:val="en-GB"/>
        </w:rPr>
        <w:t>[name and address of Supplier]</w:t>
      </w:r>
      <w:r>
        <w:rPr>
          <w:rFonts w:cs="Arial" w:ascii="Arial" w:hAnsi="Arial"/>
          <w:sz w:val="22"/>
          <w:szCs w:val="22"/>
          <w:lang w:val="en-GB"/>
        </w:rPr>
        <w:t xml:space="preserve"> (hereinafter called “the Supplier”) of the other part:</w:t>
      </w:r>
    </w:p>
    <w:p>
      <w:pPr>
        <w:pStyle w:val="Normal"/>
        <w:jc w:val="both"/>
        <w:rPr>
          <w:rFonts w:ascii="Arial" w:hAnsi="Arial" w:cs="Arial"/>
          <w:sz w:val="22"/>
          <w:szCs w:val="22"/>
          <w:lang w:val="en-GB"/>
        </w:rPr>
      </w:pPr>
      <w:r>
        <w:rPr>
          <w:rFonts w:cs="Arial" w:ascii="Arial" w:hAnsi="Arial"/>
          <w:sz w:val="22"/>
          <w:szCs w:val="22"/>
          <w:lang w:val="en-GB"/>
        </w:rPr>
      </w:r>
    </w:p>
    <w:p>
      <w:pPr>
        <w:pStyle w:val="Normal"/>
        <w:jc w:val="both"/>
        <w:rPr>
          <w:rFonts w:ascii="Arial" w:hAnsi="Arial" w:cs="Arial"/>
          <w:sz w:val="22"/>
          <w:szCs w:val="22"/>
          <w:lang w:val="en-GB"/>
        </w:rPr>
      </w:pPr>
      <w:r>
        <w:rPr>
          <w:rFonts w:cs="Arial" w:ascii="Arial" w:hAnsi="Arial"/>
          <w:sz w:val="22"/>
          <w:szCs w:val="22"/>
          <w:lang w:val="en-GB"/>
        </w:rPr>
        <w:t xml:space="preserve">WHEREAS the Procuring Entity invited Tenders for certain goods and related services, viz, </w:t>
      </w:r>
      <w:r>
        <w:rPr>
          <w:rFonts w:cs="Arial" w:ascii="Arial" w:hAnsi="Arial"/>
          <w:i/>
          <w:iCs/>
          <w:sz w:val="22"/>
          <w:szCs w:val="22"/>
          <w:lang w:val="en-GB"/>
        </w:rPr>
        <w:t>[brief description of goods and related services]</w:t>
      </w:r>
      <w:r>
        <w:rPr>
          <w:rFonts w:cs="Arial" w:ascii="Arial" w:hAnsi="Arial"/>
          <w:sz w:val="22"/>
          <w:szCs w:val="22"/>
          <w:lang w:val="en-GB"/>
        </w:rPr>
        <w:t xml:space="preserve"> and has accepted a Tender by the Supplier for the supply of those goods and related services in the sum of Taka </w:t>
      </w:r>
      <w:r>
        <w:rPr>
          <w:rFonts w:cs="Arial" w:ascii="Arial" w:hAnsi="Arial"/>
          <w:i/>
          <w:iCs/>
          <w:sz w:val="22"/>
          <w:szCs w:val="22"/>
          <w:lang w:val="en-GB"/>
        </w:rPr>
        <w:t>[Contract Price in figures and in words]</w:t>
      </w:r>
      <w:r>
        <w:rPr>
          <w:rFonts w:cs="Arial" w:ascii="Arial" w:hAnsi="Arial"/>
          <w:sz w:val="22"/>
          <w:szCs w:val="22"/>
          <w:lang w:val="en-GB"/>
        </w:rPr>
        <w:t xml:space="preserve"> (hereinafter called “the Contract Price”).</w:t>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sz w:val="22"/>
          <w:szCs w:val="22"/>
          <w:lang w:val="en-GB"/>
        </w:rPr>
      </w:pPr>
      <w:r>
        <w:rPr>
          <w:rFonts w:cs="Arial" w:ascii="Arial" w:hAnsi="Arial"/>
          <w:sz w:val="22"/>
          <w:szCs w:val="22"/>
          <w:lang w:val="en-GB"/>
        </w:rPr>
        <w:t>NOW THIS AGREEMENT WITNESSETH AS FOLLOWS:</w:t>
      </w:r>
    </w:p>
    <w:p>
      <w:pPr>
        <w:pStyle w:val="Normal"/>
        <w:numPr>
          <w:ilvl w:val="3"/>
          <w:numId w:val="57"/>
        </w:numPr>
        <w:tabs>
          <w:tab w:val="clear" w:pos="720"/>
        </w:tabs>
        <w:ind w:left="378" w:hanging="360"/>
        <w:jc w:val="both"/>
        <w:rPr>
          <w:rFonts w:ascii="Arial" w:hAnsi="Arial" w:cs="Arial"/>
          <w:sz w:val="22"/>
          <w:szCs w:val="22"/>
          <w:lang w:val="en-GB"/>
        </w:rPr>
      </w:pPr>
      <w:r>
        <w:rPr>
          <w:rFonts w:cs="Arial" w:ascii="Arial" w:hAnsi="Arial"/>
          <w:sz w:val="22"/>
          <w:szCs w:val="22"/>
          <w:lang w:val="en-GB"/>
        </w:rPr>
        <w:t>In this Agreement words and expressions shall have the same meanings as are respectively assigned to them in the General Conditions of Contract hereafter referred to.</w:t>
      </w:r>
    </w:p>
    <w:p>
      <w:pPr>
        <w:pStyle w:val="Normal"/>
        <w:numPr>
          <w:ilvl w:val="3"/>
          <w:numId w:val="57"/>
        </w:numPr>
        <w:tabs>
          <w:tab w:val="clear" w:pos="720"/>
        </w:tabs>
        <w:ind w:left="378" w:hanging="360"/>
        <w:jc w:val="both"/>
        <w:rPr>
          <w:rFonts w:ascii="Arial" w:hAnsi="Arial" w:cs="Arial"/>
          <w:sz w:val="22"/>
          <w:szCs w:val="22"/>
          <w:lang w:val="en-GB"/>
        </w:rPr>
      </w:pPr>
      <w:r>
        <w:rPr>
          <w:rFonts w:cs="Arial" w:ascii="Arial" w:hAnsi="Arial"/>
          <w:sz w:val="22"/>
          <w:szCs w:val="22"/>
          <w:lang w:val="en-GB"/>
        </w:rPr>
        <w:t>The following documents forming the Contract shall be in the following order of precedence, namely :</w:t>
      </w:r>
    </w:p>
    <w:p>
      <w:pPr>
        <w:pStyle w:val="Normal"/>
        <w:numPr>
          <w:ilvl w:val="0"/>
          <w:numId w:val="56"/>
        </w:numPr>
        <w:tabs>
          <w:tab w:val="clear" w:pos="720"/>
        </w:tabs>
        <w:spacing w:before="240" w:after="0"/>
        <w:ind w:left="1800" w:hanging="360"/>
        <w:jc w:val="both"/>
        <w:rPr>
          <w:rFonts w:ascii="Arial" w:hAnsi="Arial" w:cs="Arial"/>
          <w:sz w:val="22"/>
          <w:szCs w:val="22"/>
          <w:lang w:val="en-GB"/>
        </w:rPr>
      </w:pPr>
      <w:r>
        <w:rPr>
          <w:rFonts w:cs="Arial" w:ascii="Arial" w:hAnsi="Arial"/>
          <w:sz w:val="22"/>
          <w:szCs w:val="22"/>
          <w:lang w:val="en-GB"/>
        </w:rPr>
        <w:t>the signed Form of Contract Agreement;</w:t>
      </w:r>
    </w:p>
    <w:p>
      <w:pPr>
        <w:pStyle w:val="Normal"/>
        <w:numPr>
          <w:ilvl w:val="0"/>
          <w:numId w:val="56"/>
        </w:numPr>
        <w:ind w:left="1800" w:hanging="360"/>
        <w:jc w:val="both"/>
        <w:rPr>
          <w:rFonts w:ascii="Arial" w:hAnsi="Arial" w:cs="Arial"/>
          <w:sz w:val="22"/>
          <w:szCs w:val="22"/>
          <w:lang w:val="en-GB"/>
        </w:rPr>
      </w:pPr>
      <w:r>
        <w:rPr>
          <w:rFonts w:cs="Arial" w:ascii="Arial" w:hAnsi="Arial"/>
          <w:sz w:val="22"/>
          <w:szCs w:val="22"/>
          <w:lang w:val="en-GB"/>
        </w:rPr>
        <w:t>the  Notification of Award</w:t>
      </w:r>
    </w:p>
    <w:p>
      <w:pPr>
        <w:pStyle w:val="Normal"/>
        <w:numPr>
          <w:ilvl w:val="0"/>
          <w:numId w:val="56"/>
        </w:numPr>
        <w:ind w:left="1800" w:hanging="360"/>
        <w:jc w:val="both"/>
        <w:rPr>
          <w:rFonts w:ascii="Arial" w:hAnsi="Arial" w:cs="Arial"/>
          <w:sz w:val="22"/>
          <w:szCs w:val="22"/>
          <w:lang w:val="en-GB"/>
        </w:rPr>
      </w:pPr>
      <w:r>
        <w:rPr>
          <w:rFonts w:cs="Arial" w:ascii="Arial" w:hAnsi="Arial"/>
          <w:sz w:val="22"/>
          <w:szCs w:val="22"/>
          <w:lang w:val="en-GB"/>
        </w:rPr>
        <w:t xml:space="preserve">The completed Tender </w:t>
      </w:r>
    </w:p>
    <w:p>
      <w:pPr>
        <w:pStyle w:val="Normal"/>
        <w:numPr>
          <w:ilvl w:val="0"/>
          <w:numId w:val="56"/>
        </w:numPr>
        <w:ind w:left="1800" w:hanging="360"/>
        <w:jc w:val="both"/>
        <w:rPr>
          <w:rFonts w:ascii="Arial" w:hAnsi="Arial" w:cs="Arial"/>
          <w:sz w:val="22"/>
          <w:szCs w:val="22"/>
          <w:lang w:val="en-GB"/>
        </w:rPr>
      </w:pPr>
      <w:r>
        <w:rPr>
          <w:rFonts w:cs="Arial" w:ascii="Arial" w:hAnsi="Arial"/>
          <w:sz w:val="22"/>
          <w:szCs w:val="22"/>
          <w:lang w:val="en-GB"/>
        </w:rPr>
        <w:t>Particular Conditions of Contract;</w:t>
      </w:r>
    </w:p>
    <w:p>
      <w:pPr>
        <w:pStyle w:val="Normal"/>
        <w:numPr>
          <w:ilvl w:val="0"/>
          <w:numId w:val="56"/>
        </w:numPr>
        <w:ind w:left="1800" w:hanging="360"/>
        <w:jc w:val="both"/>
        <w:rPr>
          <w:rFonts w:ascii="Arial" w:hAnsi="Arial" w:cs="Arial"/>
          <w:sz w:val="22"/>
          <w:szCs w:val="22"/>
          <w:lang w:val="en-GB"/>
        </w:rPr>
      </w:pPr>
      <w:r>
        <w:rPr>
          <w:rFonts w:cs="Arial" w:ascii="Arial" w:hAnsi="Arial"/>
          <w:sz w:val="22"/>
          <w:szCs w:val="22"/>
          <w:lang w:val="en-GB"/>
        </w:rPr>
        <w:t>General Conditions of Contract;</w:t>
      </w:r>
    </w:p>
    <w:p>
      <w:pPr>
        <w:pStyle w:val="Normal"/>
        <w:numPr>
          <w:ilvl w:val="0"/>
          <w:numId w:val="56"/>
        </w:numPr>
        <w:ind w:left="1800" w:hanging="360"/>
        <w:jc w:val="both"/>
        <w:rPr>
          <w:rFonts w:ascii="Arial" w:hAnsi="Arial" w:cs="Arial"/>
          <w:sz w:val="22"/>
          <w:szCs w:val="22"/>
          <w:lang w:val="en-GB"/>
        </w:rPr>
      </w:pPr>
      <w:r>
        <w:rPr>
          <w:rFonts w:cs="Arial" w:ascii="Arial" w:hAnsi="Arial"/>
          <w:sz w:val="22"/>
          <w:szCs w:val="22"/>
          <w:lang w:val="en-GB"/>
        </w:rPr>
        <w:t>Technical Specifications;</w:t>
      </w:r>
    </w:p>
    <w:p>
      <w:pPr>
        <w:pStyle w:val="Normal"/>
        <w:numPr>
          <w:ilvl w:val="0"/>
          <w:numId w:val="56"/>
        </w:numPr>
        <w:ind w:left="1800" w:hanging="360"/>
        <w:jc w:val="both"/>
        <w:rPr>
          <w:rFonts w:ascii="Arial" w:hAnsi="Arial" w:cs="Arial"/>
          <w:sz w:val="22"/>
          <w:szCs w:val="22"/>
          <w:lang w:val="en-GB"/>
        </w:rPr>
      </w:pPr>
      <w:r>
        <w:rPr>
          <w:rFonts w:cs="Arial" w:ascii="Arial" w:hAnsi="Arial"/>
          <w:sz w:val="22"/>
          <w:szCs w:val="22"/>
          <w:lang w:val="en-GB"/>
        </w:rPr>
        <w:t>Drawings;</w:t>
      </w:r>
    </w:p>
    <w:p>
      <w:pPr>
        <w:pStyle w:val="Normal"/>
        <w:numPr>
          <w:ilvl w:val="0"/>
          <w:numId w:val="56"/>
        </w:numPr>
        <w:ind w:left="1800" w:hanging="360"/>
        <w:jc w:val="both"/>
        <w:rPr>
          <w:rFonts w:ascii="Arial" w:hAnsi="Arial" w:cs="Arial"/>
          <w:sz w:val="22"/>
          <w:szCs w:val="22"/>
          <w:lang w:val="en-GB"/>
        </w:rPr>
      </w:pPr>
      <w:r>
        <w:rPr>
          <w:rFonts w:cs="Arial" w:ascii="Arial" w:hAnsi="Arial"/>
          <w:sz w:val="22"/>
          <w:szCs w:val="22"/>
          <w:lang w:val="en-GB"/>
        </w:rPr>
        <w:t>Price Schedules and Schedule of Requirements and;</w:t>
      </w:r>
    </w:p>
    <w:p>
      <w:pPr>
        <w:pStyle w:val="Normal"/>
        <w:numPr>
          <w:ilvl w:val="0"/>
          <w:numId w:val="56"/>
        </w:numPr>
        <w:ind w:left="1800" w:hanging="360"/>
        <w:jc w:val="both"/>
        <w:rPr>
          <w:rFonts w:ascii="Arial" w:hAnsi="Arial" w:cs="Arial"/>
          <w:sz w:val="22"/>
          <w:szCs w:val="22"/>
          <w:lang w:val="en-GB"/>
        </w:rPr>
      </w:pPr>
      <w:r>
        <w:rPr>
          <w:rFonts w:cs="Arial" w:ascii="Arial" w:hAnsi="Arial"/>
          <w:sz w:val="22"/>
          <w:szCs w:val="22"/>
          <w:lang w:val="en-GB"/>
        </w:rPr>
        <w:t>other document including correspondences listed in the PCC forming part of the Contract</w:t>
      </w:r>
    </w:p>
    <w:p>
      <w:pPr>
        <w:pStyle w:val="Normal"/>
        <w:ind w:left="720" w:hanging="720"/>
        <w:jc w:val="both"/>
        <w:rPr>
          <w:rFonts w:ascii="Arial" w:hAnsi="Arial" w:cs="Arial"/>
          <w:lang w:val="en-GB"/>
        </w:rPr>
      </w:pPr>
      <w:r>
        <w:rPr>
          <w:rFonts w:cs="Arial" w:ascii="Arial" w:hAnsi="Arial"/>
          <w:lang w:val="en-GB"/>
        </w:rPr>
      </w:r>
    </w:p>
    <w:p>
      <w:pPr>
        <w:pStyle w:val="Normal"/>
        <w:numPr>
          <w:ilvl w:val="3"/>
          <w:numId w:val="57"/>
        </w:numPr>
        <w:tabs>
          <w:tab w:val="clear" w:pos="720"/>
        </w:tabs>
        <w:ind w:left="540" w:hanging="540"/>
        <w:jc w:val="both"/>
        <w:rPr>
          <w:rFonts w:ascii="Arial" w:hAnsi="Arial" w:cs="Arial"/>
          <w:sz w:val="22"/>
          <w:szCs w:val="22"/>
          <w:lang w:val="en-GB"/>
        </w:rPr>
      </w:pPr>
      <w:r>
        <w:rPr>
          <w:rFonts w:cs="Arial" w:ascii="Arial" w:hAnsi="Arial"/>
          <w:sz w:val="22"/>
          <w:szCs w:val="22"/>
          <w:lang w:val="en-GB"/>
        </w:rPr>
        <w:t>In consideration of the payments to be made by the Procuring Entity to the Supplier as hereinafter mentioned, the Supplier hereby covenants with the Procuring Entity to provide the goods and related services and to remedy any defects therein in conformity in all respects with the provisions of the Contract.</w:t>
      </w:r>
    </w:p>
    <w:p>
      <w:pPr>
        <w:pStyle w:val="Normal"/>
        <w:ind w:left="720" w:hanging="720"/>
        <w:jc w:val="both"/>
        <w:rPr>
          <w:rFonts w:ascii="Arial" w:hAnsi="Arial" w:cs="Arial"/>
          <w:sz w:val="22"/>
          <w:szCs w:val="22"/>
          <w:lang w:val="en-GB"/>
        </w:rPr>
      </w:pPr>
      <w:r>
        <w:rPr>
          <w:rFonts w:cs="Arial" w:ascii="Arial" w:hAnsi="Arial"/>
          <w:sz w:val="22"/>
          <w:szCs w:val="22"/>
          <w:lang w:val="en-GB"/>
        </w:rPr>
      </w:r>
    </w:p>
    <w:p>
      <w:pPr>
        <w:pStyle w:val="Normal"/>
        <w:ind w:left="540" w:hanging="720"/>
        <w:jc w:val="both"/>
        <w:rPr>
          <w:rFonts w:ascii="Arial" w:hAnsi="Arial" w:cs="Arial"/>
          <w:sz w:val="22"/>
          <w:szCs w:val="22"/>
          <w:lang w:val="en-GB"/>
        </w:rPr>
      </w:pPr>
      <w:r>
        <w:rPr>
          <w:rFonts w:cs="Arial" w:ascii="Arial" w:hAnsi="Arial"/>
          <w:sz w:val="22"/>
          <w:szCs w:val="22"/>
          <w:lang w:val="en-GB"/>
        </w:rPr>
        <w:t>4.</w:t>
        <w:tab/>
        <w:t>The Procuring Entity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sz w:val="22"/>
          <w:szCs w:val="22"/>
          <w:lang w:val="en-GB"/>
        </w:rPr>
      </w:pPr>
      <w:r>
        <w:rPr>
          <w:rFonts w:cs="Arial" w:ascii="Arial" w:hAnsi="Arial"/>
          <w:sz w:val="22"/>
          <w:szCs w:val="22"/>
          <w:lang w:val="en-GB"/>
        </w:rPr>
        <w:t>IN WITNESS whereof the parties hereto have caused this Agreement to be executed in accordance with the laws of Bangladesh on the day, month and year first written above.</w:t>
      </w:r>
    </w:p>
    <w:p>
      <w:pPr>
        <w:pStyle w:val="Normal"/>
        <w:rPr>
          <w:rFonts w:ascii="Arial" w:hAnsi="Arial" w:cs="Arial"/>
          <w:lang w:val="en-GB"/>
        </w:rPr>
      </w:pPr>
      <w:r>
        <w:rPr>
          <w:rFonts w:cs="Arial" w:ascii="Arial" w:hAnsi="Arial"/>
          <w:lang w:val="en-GB"/>
        </w:rPr>
      </w:r>
    </w:p>
    <w:tbl>
      <w:tblPr>
        <w:tblW w:w="9000" w:type="dxa"/>
        <w:jc w:val="left"/>
        <w:tblInd w:w="109" w:type="dxa"/>
        <w:tblLayout w:type="fixed"/>
        <w:tblCellMar>
          <w:top w:w="0" w:type="dxa"/>
          <w:left w:w="108" w:type="dxa"/>
          <w:bottom w:w="0" w:type="dxa"/>
          <w:right w:w="108" w:type="dxa"/>
        </w:tblCellMar>
        <w:tblLook w:val="01e0" w:noHBand="0" w:noVBand="0" w:firstColumn="1" w:lastRow="1" w:lastColumn="1" w:firstRow="1"/>
      </w:tblPr>
      <w:tblGrid>
        <w:gridCol w:w="1980"/>
        <w:gridCol w:w="3484"/>
        <w:gridCol w:w="3536"/>
      </w:tblGrid>
      <w:tr>
        <w:trPr>
          <w:trHeight w:val="287" w:hRule="atLeast"/>
        </w:trPr>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0" w:after="40"/>
              <w:rPr>
                <w:rFonts w:ascii="Arial" w:hAnsi="Arial" w:cs="Arial"/>
                <w:sz w:val="22"/>
                <w:szCs w:val="22"/>
                <w:lang w:val="en-GB"/>
              </w:rPr>
            </w:pPr>
            <w:r>
              <w:rPr>
                <w:rFonts w:cs="Arial" w:ascii="Arial" w:hAnsi="Arial"/>
                <w:sz w:val="22"/>
                <w:szCs w:val="22"/>
                <w:lang w:val="en-GB"/>
              </w:rPr>
            </w:r>
          </w:p>
        </w:tc>
        <w:tc>
          <w:tcPr>
            <w:tcW w:w="348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0" w:after="40"/>
              <w:rPr>
                <w:rFonts w:ascii="Arial" w:hAnsi="Arial" w:cs="Arial"/>
                <w:sz w:val="22"/>
                <w:szCs w:val="22"/>
                <w:lang w:val="en-GB"/>
              </w:rPr>
            </w:pPr>
            <w:r>
              <w:rPr>
                <w:rFonts w:cs="Arial" w:ascii="Arial" w:hAnsi="Arial"/>
                <w:sz w:val="22"/>
                <w:szCs w:val="22"/>
                <w:lang w:val="en-GB"/>
              </w:rPr>
              <w:t>For the Procuring Entity:</w:t>
            </w:r>
          </w:p>
        </w:tc>
        <w:tc>
          <w:tcPr>
            <w:tcW w:w="353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0" w:after="40"/>
              <w:rPr>
                <w:rFonts w:ascii="Arial" w:hAnsi="Arial" w:cs="Arial"/>
                <w:sz w:val="22"/>
                <w:szCs w:val="22"/>
                <w:lang w:val="en-GB"/>
              </w:rPr>
            </w:pPr>
            <w:r>
              <w:rPr>
                <w:rFonts w:cs="Arial" w:ascii="Arial" w:hAnsi="Arial"/>
                <w:sz w:val="22"/>
                <w:szCs w:val="22"/>
                <w:lang w:val="en-GB"/>
              </w:rPr>
              <w:t>For the Supplier:</w:t>
            </w:r>
          </w:p>
        </w:tc>
      </w:tr>
      <w:tr>
        <w:trPr>
          <w:trHeight w:val="323" w:hRule="atLeast"/>
        </w:trPr>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0" w:after="40"/>
              <w:rPr>
                <w:rFonts w:ascii="Arial" w:hAnsi="Arial" w:cs="Arial"/>
                <w:sz w:val="22"/>
                <w:szCs w:val="22"/>
                <w:lang w:val="en-GB"/>
              </w:rPr>
            </w:pPr>
            <w:r>
              <w:rPr>
                <w:rFonts w:cs="Arial" w:ascii="Arial" w:hAnsi="Arial"/>
                <w:sz w:val="22"/>
                <w:szCs w:val="22"/>
                <w:lang w:val="en-GB"/>
              </w:rPr>
              <w:t>Signature</w:t>
            </w:r>
          </w:p>
        </w:tc>
        <w:tc>
          <w:tcPr>
            <w:tcW w:w="348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0" w:after="40"/>
              <w:rPr>
                <w:rFonts w:ascii="Arial" w:hAnsi="Arial" w:cs="Arial"/>
                <w:sz w:val="22"/>
                <w:szCs w:val="22"/>
                <w:lang w:val="en-GB"/>
              </w:rPr>
            </w:pPr>
            <w:r>
              <w:rPr>
                <w:rFonts w:cs="Arial" w:ascii="Arial" w:hAnsi="Arial"/>
                <w:sz w:val="22"/>
                <w:szCs w:val="22"/>
                <w:lang w:val="en-GB"/>
              </w:rPr>
            </w:r>
          </w:p>
        </w:tc>
        <w:tc>
          <w:tcPr>
            <w:tcW w:w="353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0" w:after="40"/>
              <w:rPr>
                <w:rFonts w:ascii="Arial" w:hAnsi="Arial" w:cs="Arial"/>
                <w:sz w:val="22"/>
                <w:szCs w:val="22"/>
                <w:lang w:val="en-GB"/>
              </w:rPr>
            </w:pPr>
            <w:r>
              <w:rPr>
                <w:rFonts w:cs="Arial" w:ascii="Arial" w:hAnsi="Arial"/>
                <w:sz w:val="22"/>
                <w:szCs w:val="22"/>
                <w:lang w:val="en-GB"/>
              </w:rPr>
            </w:r>
          </w:p>
        </w:tc>
      </w:tr>
      <w:tr>
        <w:trPr/>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0" w:after="40"/>
              <w:rPr>
                <w:rFonts w:ascii="Arial" w:hAnsi="Arial" w:cs="Arial"/>
                <w:sz w:val="22"/>
                <w:szCs w:val="22"/>
                <w:lang w:val="en-GB"/>
              </w:rPr>
            </w:pPr>
            <w:r>
              <w:rPr>
                <w:rFonts w:cs="Arial" w:ascii="Arial" w:hAnsi="Arial"/>
                <w:sz w:val="22"/>
                <w:szCs w:val="22"/>
                <w:lang w:val="en-GB"/>
              </w:rPr>
              <w:t>Print Name</w:t>
            </w:r>
          </w:p>
        </w:tc>
        <w:tc>
          <w:tcPr>
            <w:tcW w:w="348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0" w:after="40"/>
              <w:rPr>
                <w:rFonts w:ascii="Arial" w:hAnsi="Arial" w:cs="Arial"/>
                <w:sz w:val="22"/>
                <w:szCs w:val="22"/>
                <w:lang w:val="en-GB"/>
              </w:rPr>
            </w:pPr>
            <w:r>
              <w:rPr>
                <w:rFonts w:cs="Arial" w:ascii="Arial" w:hAnsi="Arial"/>
                <w:sz w:val="22"/>
                <w:szCs w:val="22"/>
                <w:lang w:val="en-GB"/>
              </w:rPr>
            </w:r>
          </w:p>
        </w:tc>
        <w:tc>
          <w:tcPr>
            <w:tcW w:w="353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0" w:after="40"/>
              <w:rPr>
                <w:rFonts w:ascii="Arial" w:hAnsi="Arial" w:cs="Arial"/>
                <w:sz w:val="22"/>
                <w:szCs w:val="22"/>
                <w:lang w:val="en-GB"/>
              </w:rPr>
            </w:pPr>
            <w:r>
              <w:rPr>
                <w:rFonts w:cs="Arial" w:ascii="Arial" w:hAnsi="Arial"/>
                <w:sz w:val="22"/>
                <w:szCs w:val="22"/>
                <w:lang w:val="en-GB"/>
              </w:rPr>
            </w:r>
          </w:p>
        </w:tc>
      </w:tr>
      <w:tr>
        <w:trPr>
          <w:trHeight w:val="215" w:hRule="atLeast"/>
        </w:trPr>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0" w:after="40"/>
              <w:rPr>
                <w:rFonts w:ascii="Arial" w:hAnsi="Arial" w:cs="Arial"/>
                <w:sz w:val="22"/>
                <w:szCs w:val="22"/>
                <w:lang w:val="en-GB"/>
              </w:rPr>
            </w:pPr>
            <w:r>
              <w:rPr>
                <w:rFonts w:cs="Arial" w:ascii="Arial" w:hAnsi="Arial"/>
                <w:sz w:val="22"/>
                <w:szCs w:val="22"/>
                <w:lang w:val="en-GB"/>
              </w:rPr>
              <w:t>Title</w:t>
            </w:r>
          </w:p>
        </w:tc>
        <w:tc>
          <w:tcPr>
            <w:tcW w:w="348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0" w:after="40"/>
              <w:rPr>
                <w:rFonts w:ascii="Arial" w:hAnsi="Arial" w:cs="Arial"/>
                <w:sz w:val="22"/>
                <w:szCs w:val="22"/>
                <w:lang w:val="en-GB"/>
              </w:rPr>
            </w:pPr>
            <w:r>
              <w:rPr>
                <w:rFonts w:cs="Arial" w:ascii="Arial" w:hAnsi="Arial"/>
                <w:sz w:val="22"/>
                <w:szCs w:val="22"/>
                <w:lang w:val="en-GB"/>
              </w:rPr>
            </w:r>
          </w:p>
        </w:tc>
        <w:tc>
          <w:tcPr>
            <w:tcW w:w="353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0" w:after="40"/>
              <w:rPr>
                <w:rFonts w:ascii="Arial" w:hAnsi="Arial" w:cs="Arial"/>
                <w:sz w:val="22"/>
                <w:szCs w:val="22"/>
                <w:lang w:val="en-GB"/>
              </w:rPr>
            </w:pPr>
            <w:r>
              <w:rPr>
                <w:rFonts w:cs="Arial" w:ascii="Arial" w:hAnsi="Arial"/>
                <w:sz w:val="22"/>
                <w:szCs w:val="22"/>
                <w:lang w:val="en-GB"/>
              </w:rPr>
            </w:r>
          </w:p>
        </w:tc>
      </w:tr>
      <w:tr>
        <w:trPr/>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0" w:after="40"/>
              <w:rPr>
                <w:rFonts w:ascii="Arial" w:hAnsi="Arial" w:cs="Arial"/>
                <w:sz w:val="22"/>
                <w:szCs w:val="22"/>
                <w:lang w:val="en-GB"/>
              </w:rPr>
            </w:pPr>
            <w:r>
              <w:rPr>
                <w:rFonts w:cs="Arial" w:ascii="Arial" w:hAnsi="Arial"/>
                <w:sz w:val="22"/>
                <w:szCs w:val="22"/>
                <w:lang w:val="en-GB"/>
              </w:rPr>
              <w:t>In the presence of</w:t>
            </w:r>
          </w:p>
          <w:p>
            <w:pPr>
              <w:pStyle w:val="Normal"/>
              <w:widowControl w:val="false"/>
              <w:spacing w:before="80" w:after="40"/>
              <w:rPr>
                <w:rFonts w:ascii="Arial" w:hAnsi="Arial" w:cs="Arial"/>
                <w:sz w:val="22"/>
                <w:szCs w:val="22"/>
                <w:lang w:val="en-GB"/>
              </w:rPr>
            </w:pPr>
            <w:r>
              <w:rPr>
                <w:rFonts w:cs="Arial" w:ascii="Arial" w:hAnsi="Arial"/>
                <w:sz w:val="22"/>
                <w:szCs w:val="22"/>
                <w:lang w:val="en-GB"/>
              </w:rPr>
              <w:t>Name</w:t>
            </w:r>
          </w:p>
        </w:tc>
        <w:tc>
          <w:tcPr>
            <w:tcW w:w="348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0" w:after="40"/>
              <w:rPr>
                <w:rFonts w:ascii="Arial" w:hAnsi="Arial" w:cs="Arial"/>
                <w:sz w:val="22"/>
                <w:szCs w:val="22"/>
                <w:lang w:val="en-GB"/>
              </w:rPr>
            </w:pPr>
            <w:r>
              <w:rPr>
                <w:rFonts w:cs="Arial" w:ascii="Arial" w:hAnsi="Arial"/>
                <w:sz w:val="22"/>
                <w:szCs w:val="22"/>
                <w:lang w:val="en-GB"/>
              </w:rPr>
            </w:r>
          </w:p>
        </w:tc>
        <w:tc>
          <w:tcPr>
            <w:tcW w:w="353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0" w:after="40"/>
              <w:rPr>
                <w:rFonts w:ascii="Arial" w:hAnsi="Arial" w:cs="Arial"/>
                <w:sz w:val="22"/>
                <w:szCs w:val="22"/>
                <w:lang w:val="en-GB"/>
              </w:rPr>
            </w:pPr>
            <w:r>
              <w:rPr>
                <w:rFonts w:cs="Arial" w:ascii="Arial" w:hAnsi="Arial"/>
                <w:sz w:val="22"/>
                <w:szCs w:val="22"/>
                <w:lang w:val="en-GB"/>
              </w:rPr>
            </w:r>
          </w:p>
        </w:tc>
      </w:tr>
      <w:tr>
        <w:trPr/>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0" w:after="40"/>
              <w:rPr>
                <w:rFonts w:ascii="Arial" w:hAnsi="Arial" w:cs="Arial"/>
                <w:lang w:val="en-GB"/>
              </w:rPr>
            </w:pPr>
            <w:r>
              <w:rPr>
                <w:rFonts w:cs="Arial" w:ascii="Arial" w:hAnsi="Arial"/>
                <w:lang w:val="en-GB"/>
              </w:rPr>
              <w:t>Address</w:t>
            </w:r>
          </w:p>
        </w:tc>
        <w:tc>
          <w:tcPr>
            <w:tcW w:w="348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0" w:after="40"/>
              <w:rPr>
                <w:rFonts w:ascii="Arial" w:hAnsi="Arial" w:cs="Arial"/>
                <w:lang w:val="en-GB"/>
              </w:rPr>
            </w:pPr>
            <w:r>
              <w:rPr>
                <w:rFonts w:cs="Arial" w:ascii="Arial" w:hAnsi="Arial"/>
                <w:lang w:val="en-GB"/>
              </w:rPr>
            </w:r>
          </w:p>
        </w:tc>
        <w:tc>
          <w:tcPr>
            <w:tcW w:w="353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0" w:after="40"/>
              <w:rPr>
                <w:rFonts w:ascii="Arial" w:hAnsi="Arial" w:cs="Arial"/>
                <w:lang w:val="en-GB"/>
              </w:rPr>
            </w:pPr>
            <w:r>
              <w:rPr>
                <w:rFonts w:cs="Arial" w:ascii="Arial" w:hAnsi="Arial"/>
                <w:lang w:val="en-GB"/>
              </w:rPr>
            </w:r>
          </w:p>
        </w:tc>
      </w:tr>
    </w:tbl>
    <w:p>
      <w:pPr>
        <w:pStyle w:val="Normal"/>
        <w:rPr>
          <w:rFonts w:ascii="Arial" w:hAnsi="Arial" w:cs="Arial"/>
          <w:szCs w:val="22"/>
          <w:lang w:val="en-GB"/>
        </w:rPr>
      </w:pPr>
      <w:r>
        <w:rPr>
          <w:rFonts w:cs="Arial" w:ascii="Arial" w:hAnsi="Arial"/>
          <w:szCs w:val="22"/>
          <w:lang w:val="en-GB"/>
        </w:rPr>
      </w:r>
    </w:p>
    <w:p>
      <w:pPr>
        <w:pStyle w:val="Normal"/>
        <w:jc w:val="both"/>
        <w:rPr>
          <w:rFonts w:ascii="Arial" w:hAnsi="Arial" w:cs="Arial"/>
          <w:lang w:val="en-GB"/>
        </w:rPr>
      </w:pPr>
      <w:r>
        <w:rPr>
          <w:rFonts w:cs="Arial" w:ascii="Arial" w:hAnsi="Arial"/>
          <w:lang w:val="en-GB"/>
        </w:rPr>
      </w:r>
    </w:p>
    <w:p>
      <w:pPr>
        <w:pStyle w:val="Heading2"/>
        <w:rPr>
          <w:rFonts w:ascii="Arial" w:hAnsi="Arial"/>
          <w:lang w:val="en-GB"/>
        </w:rPr>
      </w:pPr>
      <w:bookmarkStart w:id="811" w:name="_Toc50275655"/>
      <w:bookmarkStart w:id="812" w:name="_Toc421454335"/>
      <w:r>
        <w:rPr>
          <w:rFonts w:ascii="Arial" w:hAnsi="Arial"/>
          <w:lang w:val="en-GB"/>
        </w:rPr>
        <w:t>Bank Guarantee for Performance Security (Form PG3 – 11)</w:t>
      </w:r>
      <w:bookmarkEnd w:id="811"/>
      <w:bookmarkEnd w:id="812"/>
    </w:p>
    <w:p>
      <w:pPr>
        <w:pStyle w:val="Normal"/>
        <w:jc w:val="both"/>
        <w:rPr>
          <w:rFonts w:ascii="Arial" w:hAnsi="Arial" w:cs="Arial"/>
          <w:lang w:val="en-GB"/>
        </w:rPr>
      </w:pPr>
      <w:r>
        <w:rPr>
          <w:rFonts w:cs="Arial" w:ascii="Arial" w:hAnsi="Arial"/>
          <w:lang w:val="en-GB"/>
        </w:rPr>
      </w:r>
    </w:p>
    <w:p>
      <w:pPr>
        <w:pStyle w:val="Normal"/>
        <w:jc w:val="center"/>
        <w:rPr>
          <w:rFonts w:ascii="Arial" w:hAnsi="Arial" w:cs="Arial"/>
          <w:i/>
          <w:i/>
          <w:iCs/>
          <w:lang w:val="en-GB"/>
        </w:rPr>
      </w:pPr>
      <w:r>
        <w:rPr>
          <w:rFonts w:cs="Arial" w:ascii="Arial" w:hAnsi="Arial"/>
          <w:i/>
          <w:iCs/>
          <w:lang w:val="en-GB"/>
        </w:rPr>
        <w:t>[this is the format for the Performance Security to be issued by a scheduled Bank</w:t>
      </w:r>
    </w:p>
    <w:p>
      <w:pPr>
        <w:pStyle w:val="Normal"/>
        <w:jc w:val="center"/>
        <w:rPr>
          <w:rFonts w:ascii="Arial" w:hAnsi="Arial" w:cs="Arial"/>
          <w:lang w:val="en-GB"/>
        </w:rPr>
      </w:pPr>
      <w:r>
        <w:rPr>
          <w:rFonts w:cs="Arial" w:ascii="Arial" w:hAnsi="Arial"/>
          <w:i/>
          <w:iCs/>
          <w:lang w:val="en-GB"/>
        </w:rPr>
        <w:t xml:space="preserve"> </w:t>
      </w:r>
      <w:r>
        <w:rPr>
          <w:rFonts w:cs="Arial" w:ascii="Arial" w:hAnsi="Arial"/>
          <w:i/>
          <w:iCs/>
          <w:lang w:val="en-GB"/>
        </w:rPr>
        <w:t>of Bangladesh in accordance with ITT Sub Clause 63.1]</w:t>
      </w:r>
    </w:p>
    <w:p>
      <w:pPr>
        <w:pStyle w:val="Normal"/>
        <w:rPr>
          <w:rFonts w:ascii="Arial" w:hAnsi="Arial" w:cs="Arial"/>
          <w:lang w:val="en-GB"/>
        </w:rPr>
      </w:pPr>
      <w:r>
        <w:rPr>
          <w:rFonts w:cs="Arial" w:ascii="Arial" w:hAnsi="Arial"/>
          <w:lang w:val="en-GB"/>
        </w:rPr>
      </w:r>
    </w:p>
    <w:tbl>
      <w:tblPr>
        <w:tblW w:w="9000"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4512"/>
        <w:gridCol w:w="4487"/>
      </w:tblGrid>
      <w:tr>
        <w:trPr/>
        <w:tc>
          <w:tcPr>
            <w:tcW w:w="4512" w:type="dxa"/>
            <w:tcBorders/>
          </w:tcPr>
          <w:p>
            <w:pPr>
              <w:pStyle w:val="Normal"/>
              <w:widowControl w:val="false"/>
              <w:jc w:val="both"/>
              <w:rPr>
                <w:rFonts w:ascii="Arial" w:hAnsi="Arial" w:cs="Arial"/>
                <w:lang w:val="en-GB"/>
              </w:rPr>
            </w:pPr>
            <w:r>
              <w:rPr>
                <w:rFonts w:cs="Arial" w:ascii="Arial" w:hAnsi="Arial"/>
                <w:lang w:val="en-GB"/>
              </w:rPr>
              <w:t>Contract No:</w:t>
            </w:r>
          </w:p>
          <w:p>
            <w:pPr>
              <w:pStyle w:val="Normal"/>
              <w:widowControl w:val="false"/>
              <w:jc w:val="both"/>
              <w:rPr>
                <w:rFonts w:ascii="Arial" w:hAnsi="Arial" w:cs="Arial"/>
                <w:lang w:val="en-GB"/>
              </w:rPr>
            </w:pPr>
            <w:r>
              <w:rPr>
                <w:rFonts w:cs="Arial" w:ascii="Arial" w:hAnsi="Arial"/>
                <w:lang w:val="en-GB"/>
              </w:rPr>
            </w:r>
          </w:p>
        </w:tc>
        <w:tc>
          <w:tcPr>
            <w:tcW w:w="4487" w:type="dxa"/>
            <w:tcBorders/>
          </w:tcPr>
          <w:p>
            <w:pPr>
              <w:pStyle w:val="Normal"/>
              <w:widowControl w:val="false"/>
              <w:jc w:val="both"/>
              <w:rPr>
                <w:rFonts w:ascii="Arial" w:hAnsi="Arial" w:cs="Arial"/>
                <w:lang w:val="en-GB"/>
              </w:rPr>
            </w:pPr>
            <w:r>
              <w:rPr>
                <w:rFonts w:cs="Arial" w:ascii="Arial" w:hAnsi="Arial"/>
                <w:lang w:val="en-GB"/>
              </w:rPr>
              <w:t>Date:</w:t>
            </w:r>
          </w:p>
        </w:tc>
      </w:tr>
      <w:tr>
        <w:trPr/>
        <w:tc>
          <w:tcPr>
            <w:tcW w:w="4512" w:type="dxa"/>
            <w:tcBorders/>
          </w:tcPr>
          <w:p>
            <w:pPr>
              <w:pStyle w:val="Normal"/>
              <w:widowControl w:val="false"/>
              <w:jc w:val="both"/>
              <w:rPr>
                <w:rFonts w:ascii="Arial" w:hAnsi="Arial" w:cs="Arial"/>
                <w:lang w:val="en-GB"/>
              </w:rPr>
            </w:pPr>
            <w:r>
              <w:rPr>
                <w:rFonts w:cs="Arial" w:ascii="Arial" w:hAnsi="Arial"/>
                <w:lang w:val="en-GB"/>
              </w:rPr>
            </w:r>
          </w:p>
          <w:p>
            <w:pPr>
              <w:pStyle w:val="Normal"/>
              <w:widowControl w:val="false"/>
              <w:jc w:val="both"/>
              <w:rPr>
                <w:rFonts w:ascii="Arial" w:hAnsi="Arial" w:cs="Arial"/>
                <w:lang w:val="en-GB"/>
              </w:rPr>
            </w:pPr>
            <w:r>
              <w:rPr>
                <w:rFonts w:cs="Arial" w:ascii="Arial" w:hAnsi="Arial"/>
                <w:lang w:val="en-GB"/>
              </w:rPr>
            </w:r>
          </w:p>
        </w:tc>
        <w:tc>
          <w:tcPr>
            <w:tcW w:w="4487" w:type="dxa"/>
            <w:tcBorders/>
          </w:tcPr>
          <w:p>
            <w:pPr>
              <w:pStyle w:val="Normal"/>
              <w:widowControl w:val="false"/>
              <w:jc w:val="both"/>
              <w:rPr>
                <w:rFonts w:ascii="Arial" w:hAnsi="Arial" w:cs="Arial"/>
                <w:lang w:val="en-GB"/>
              </w:rPr>
            </w:pPr>
            <w:r>
              <w:rPr>
                <w:rFonts w:cs="Arial" w:ascii="Arial" w:hAnsi="Arial"/>
                <w:lang w:val="en-GB"/>
              </w:rPr>
            </w:r>
          </w:p>
        </w:tc>
      </w:tr>
      <w:tr>
        <w:trPr/>
        <w:tc>
          <w:tcPr>
            <w:tcW w:w="4512" w:type="dxa"/>
            <w:tcBorders/>
          </w:tcPr>
          <w:p>
            <w:pPr>
              <w:pStyle w:val="Normal"/>
              <w:widowControl w:val="false"/>
              <w:jc w:val="both"/>
              <w:rPr>
                <w:rFonts w:ascii="Arial" w:hAnsi="Arial" w:cs="Arial"/>
                <w:lang w:val="en-GB"/>
              </w:rPr>
            </w:pPr>
            <w:r>
              <w:rPr>
                <w:rFonts w:cs="Arial" w:ascii="Arial" w:hAnsi="Arial"/>
                <w:lang w:val="en-GB"/>
              </w:rPr>
              <w:t>To:</w:t>
            </w:r>
          </w:p>
          <w:p>
            <w:pPr>
              <w:pStyle w:val="Normal"/>
              <w:widowControl w:val="false"/>
              <w:rPr>
                <w:rFonts w:ascii="Arial" w:hAnsi="Arial" w:cs="Arial"/>
                <w:lang w:val="en-GB"/>
              </w:rPr>
            </w:pPr>
            <w:r>
              <w:rPr>
                <w:rFonts w:cs="Arial" w:ascii="Arial" w:hAnsi="Arial"/>
                <w:lang w:val="en-GB"/>
              </w:rPr>
            </w:r>
          </w:p>
          <w:p>
            <w:pPr>
              <w:pStyle w:val="Normal"/>
              <w:widowControl w:val="false"/>
              <w:rPr>
                <w:rFonts w:ascii="Arial" w:hAnsi="Arial" w:cs="Arial"/>
                <w:lang w:val="en-GB"/>
              </w:rPr>
            </w:pPr>
            <w:bookmarkStart w:id="813" w:name="_Toc50275656"/>
            <w:r>
              <w:rPr>
                <w:rFonts w:cs="Arial" w:ascii="Arial" w:hAnsi="Arial"/>
                <w:lang w:val="en-GB"/>
              </w:rPr>
              <w:t>[Name and address of Procuring Entity]</w:t>
            </w:r>
            <w:bookmarkEnd w:id="813"/>
          </w:p>
          <w:p>
            <w:pPr>
              <w:pStyle w:val="Normal"/>
              <w:widowControl w:val="false"/>
              <w:jc w:val="both"/>
              <w:rPr>
                <w:rFonts w:ascii="Arial" w:hAnsi="Arial" w:cs="Arial"/>
                <w:lang w:val="en-GB"/>
              </w:rPr>
            </w:pPr>
            <w:r>
              <w:rPr>
                <w:rFonts w:cs="Arial" w:ascii="Arial" w:hAnsi="Arial"/>
                <w:lang w:val="en-GB"/>
              </w:rPr>
            </w:r>
          </w:p>
        </w:tc>
        <w:tc>
          <w:tcPr>
            <w:tcW w:w="4487" w:type="dxa"/>
            <w:tcBorders/>
          </w:tcPr>
          <w:p>
            <w:pPr>
              <w:pStyle w:val="Normal"/>
              <w:widowControl w:val="false"/>
              <w:jc w:val="both"/>
              <w:rPr>
                <w:rFonts w:ascii="Arial" w:hAnsi="Arial" w:cs="Arial"/>
                <w:lang w:val="en-GB"/>
              </w:rPr>
            </w:pPr>
            <w:r>
              <w:rPr>
                <w:rFonts w:cs="Arial" w:ascii="Arial" w:hAnsi="Arial"/>
                <w:lang w:val="en-GB"/>
              </w:rPr>
            </w:r>
          </w:p>
        </w:tc>
      </w:tr>
    </w:tbl>
    <w:p>
      <w:pPr>
        <w:pStyle w:val="Normal"/>
        <w:rPr>
          <w:rFonts w:ascii="Arial" w:hAnsi="Arial" w:cs="Arial"/>
          <w:bCs/>
          <w:sz w:val="22"/>
          <w:szCs w:val="22"/>
          <w:lang w:val="en-GB"/>
        </w:rPr>
      </w:pPr>
      <w:r>
        <w:rPr>
          <w:rFonts w:cs="Arial" w:ascii="Arial" w:hAnsi="Arial"/>
          <w:bCs/>
          <w:sz w:val="22"/>
          <w:szCs w:val="22"/>
          <w:lang w:val="en-GB"/>
        </w:rPr>
      </w:r>
    </w:p>
    <w:p>
      <w:pPr>
        <w:pStyle w:val="Normal"/>
        <w:jc w:val="center"/>
        <w:rPr>
          <w:rFonts w:ascii="Arial" w:hAnsi="Arial" w:cs="Arial"/>
          <w:lang w:val="en-GB"/>
        </w:rPr>
      </w:pPr>
      <w:r>
        <w:rPr>
          <w:rFonts w:cs="Arial" w:ascii="Arial" w:hAnsi="Arial"/>
          <w:b/>
          <w:bCs/>
          <w:lang w:val="en-GB"/>
        </w:rPr>
        <w:t xml:space="preserve">PERFORMANCE GUARANTEE No: </w:t>
      </w:r>
      <w:r>
        <w:rPr>
          <w:rFonts w:cs="Arial" w:ascii="Arial" w:hAnsi="Arial"/>
          <w:bCs/>
          <w:i/>
          <w:lang w:val="en-GB"/>
        </w:rPr>
        <w:t>[insert number]</w:t>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t xml:space="preserve">We have been informed that </w:t>
      </w:r>
      <w:r>
        <w:rPr>
          <w:rFonts w:cs="Arial" w:ascii="Arial" w:hAnsi="Arial"/>
          <w:i/>
          <w:iCs/>
          <w:lang w:val="en-GB"/>
        </w:rPr>
        <w:t>[name of supplier]</w:t>
      </w:r>
      <w:r>
        <w:rPr>
          <w:rFonts w:cs="Arial" w:ascii="Arial" w:hAnsi="Arial"/>
          <w:lang w:val="en-GB"/>
        </w:rPr>
        <w:t xml:space="preserve"> (hereinafter called “the Supplier”) has undertaken, pursuant to Contract No </w:t>
      </w:r>
      <w:r>
        <w:rPr>
          <w:rFonts w:cs="Arial" w:ascii="Arial" w:hAnsi="Arial"/>
          <w:i/>
          <w:iCs/>
          <w:lang w:val="en-GB"/>
        </w:rPr>
        <w:t>[reference number of Contract]</w:t>
      </w:r>
      <w:r>
        <w:rPr>
          <w:rFonts w:cs="Arial" w:ascii="Arial" w:hAnsi="Arial"/>
          <w:lang w:val="en-GB"/>
        </w:rPr>
        <w:t xml:space="preserve"> dated </w:t>
      </w:r>
      <w:r>
        <w:rPr>
          <w:rFonts w:cs="Arial" w:ascii="Arial" w:hAnsi="Arial"/>
          <w:i/>
          <w:iCs/>
          <w:lang w:val="en-GB"/>
        </w:rPr>
        <w:t>[date of Contract]</w:t>
      </w:r>
      <w:r>
        <w:rPr>
          <w:rFonts w:cs="Arial" w:ascii="Arial" w:hAnsi="Arial"/>
          <w:lang w:val="en-GB"/>
        </w:rPr>
        <w:t xml:space="preserve"> (hereinafter called “the Contract”) for the supply of </w:t>
      </w:r>
      <w:r>
        <w:rPr>
          <w:rFonts w:cs="Arial" w:ascii="Arial" w:hAnsi="Arial"/>
          <w:i/>
          <w:iCs/>
          <w:lang w:val="en-GB"/>
        </w:rPr>
        <w:t>[description of goods and related services]</w:t>
      </w:r>
      <w:r>
        <w:rPr>
          <w:rFonts w:cs="Arial" w:ascii="Arial" w:hAnsi="Arial"/>
          <w:lang w:val="en-GB"/>
        </w:rPr>
        <w:t xml:space="preserve"> under the Contract.</w:t>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t>Furthermore, we understand that, according to your conditions, Contracts must be supported by a performance guarantee.</w:t>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t xml:space="preserve">At the request of the Supplier, we </w:t>
      </w:r>
      <w:r>
        <w:rPr>
          <w:rFonts w:cs="Arial" w:ascii="Arial" w:hAnsi="Arial"/>
          <w:i/>
          <w:iCs/>
          <w:lang w:val="en-GB"/>
        </w:rPr>
        <w:t>[name of bank]</w:t>
      </w:r>
      <w:r>
        <w:rPr>
          <w:rFonts w:cs="Arial" w:ascii="Arial" w:hAnsi="Arial"/>
          <w:lang w:val="en-GB"/>
        </w:rPr>
        <w:t xml:space="preserve"> hereby irrevocably unconditionally undertake to pay you, without cavil or argument, any sum or sums not exceeding in total an amount of Tk </w:t>
      </w:r>
      <w:r>
        <w:rPr>
          <w:rFonts w:cs="Arial" w:ascii="Arial" w:hAnsi="Arial"/>
          <w:i/>
          <w:iCs/>
          <w:lang w:val="en-GB"/>
        </w:rPr>
        <w:t>[insert amount in figures and in words]</w:t>
      </w:r>
      <w:r>
        <w:rPr>
          <w:rFonts w:cs="Arial" w:ascii="Arial" w:hAnsi="Arial"/>
          <w:lang w:val="en-GB"/>
        </w:rPr>
        <w:t xml:space="preserve"> upon receipt by us of your first written demand accompanied by a written statement that the Supplier is in breach of its obligation(s) under the Contract conditions, without you needing to prove or show grounds or reasons for your demand of the sum specified therein.</w:t>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t xml:space="preserve">This guarantee is valid until </w:t>
      </w:r>
      <w:r>
        <w:rPr>
          <w:rFonts w:cs="Arial" w:ascii="Arial" w:hAnsi="Arial"/>
          <w:i/>
          <w:iCs/>
          <w:lang w:val="en-GB"/>
        </w:rPr>
        <w:t>[date of validity of guarantee]</w:t>
      </w:r>
      <w:r>
        <w:rPr>
          <w:rFonts w:cs="Arial" w:ascii="Arial" w:hAnsi="Arial"/>
          <w:lang w:val="en-GB"/>
        </w:rPr>
        <w:t>, consequently, we must receive at the above-mentioned office any demand for payment under this guarantee on or before that date.</w:t>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r>
    </w:p>
    <w:p>
      <w:pPr>
        <w:pStyle w:val="Footnote"/>
        <w:rPr>
          <w:rFonts w:ascii="Arial" w:hAnsi="Arial" w:cs="Arial"/>
          <w:i/>
          <w:i/>
          <w:sz w:val="22"/>
          <w:szCs w:val="22"/>
          <w:lang w:val="en-GB"/>
        </w:rPr>
      </w:pPr>
      <w:r>
        <w:rPr>
          <w:rFonts w:cs="Arial" w:ascii="Arial" w:hAnsi="Arial"/>
          <w:i/>
          <w:sz w:val="22"/>
          <w:szCs w:val="22"/>
          <w:lang w:val="en-GB"/>
        </w:rPr>
        <w:t>[Signatures of authorized representatives of the bank]</w:t>
      </w:r>
    </w:p>
    <w:p>
      <w:pPr>
        <w:pStyle w:val="Footnote"/>
        <w:rPr>
          <w:rFonts w:ascii="Arial" w:hAnsi="Arial" w:cs="Arial"/>
          <w:lang w:val="en-GB"/>
        </w:rPr>
      </w:pPr>
      <w:r>
        <w:rPr>
          <w:rFonts w:cs="Arial" w:ascii="Arial" w:hAnsi="Arial"/>
          <w:lang w:val="en-GB"/>
        </w:rPr>
      </w:r>
    </w:p>
    <w:tbl>
      <w:tblPr>
        <w:tblW w:w="9000"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4512"/>
        <w:gridCol w:w="4487"/>
      </w:tblGrid>
      <w:tr>
        <w:trPr/>
        <w:tc>
          <w:tcPr>
            <w:tcW w:w="4512" w:type="dxa"/>
            <w:tcBorders/>
          </w:tcPr>
          <w:p>
            <w:pPr>
              <w:pStyle w:val="Normal"/>
              <w:widowControl w:val="false"/>
              <w:jc w:val="both"/>
              <w:rPr>
                <w:rFonts w:ascii="Arial" w:hAnsi="Arial" w:cs="Arial"/>
                <w:lang w:val="en-GB"/>
              </w:rPr>
            </w:pPr>
            <w:r>
              <w:rPr>
                <w:rFonts w:cs="Arial" w:ascii="Arial" w:hAnsi="Arial"/>
                <w:lang w:val="en-GB"/>
              </w:rPr>
            </w:r>
          </w:p>
          <w:p>
            <w:pPr>
              <w:pStyle w:val="Normal"/>
              <w:widowControl w:val="false"/>
              <w:jc w:val="both"/>
              <w:rPr>
                <w:rFonts w:ascii="Arial" w:hAnsi="Arial" w:cs="Arial"/>
                <w:lang w:val="en-GB"/>
              </w:rPr>
            </w:pPr>
            <w:r>
              <w:rPr>
                <w:rFonts w:cs="Arial" w:ascii="Arial" w:hAnsi="Arial"/>
                <w:lang w:val="en-GB"/>
              </w:rPr>
            </w:r>
          </w:p>
          <w:p>
            <w:pPr>
              <w:pStyle w:val="Normal"/>
              <w:widowControl w:val="false"/>
              <w:jc w:val="both"/>
              <w:rPr>
                <w:rFonts w:ascii="Arial" w:hAnsi="Arial" w:cs="Arial"/>
                <w:lang w:val="en-GB"/>
              </w:rPr>
            </w:pPr>
            <w:r>
              <w:rPr>
                <w:rFonts w:cs="Arial" w:ascii="Arial" w:hAnsi="Arial"/>
                <w:lang w:val="en-GB"/>
              </w:rPr>
              <w:t>Signature</w:t>
            </w:r>
          </w:p>
        </w:tc>
        <w:tc>
          <w:tcPr>
            <w:tcW w:w="4487" w:type="dxa"/>
            <w:tcBorders/>
          </w:tcPr>
          <w:p>
            <w:pPr>
              <w:pStyle w:val="Normal"/>
              <w:widowControl w:val="false"/>
              <w:jc w:val="both"/>
              <w:rPr>
                <w:rFonts w:ascii="Arial" w:hAnsi="Arial" w:cs="Arial"/>
                <w:lang w:val="en-GB"/>
              </w:rPr>
            </w:pPr>
            <w:r>
              <w:rPr>
                <w:rFonts w:cs="Arial" w:ascii="Arial" w:hAnsi="Arial"/>
                <w:lang w:val="en-GB"/>
              </w:rPr>
            </w:r>
          </w:p>
          <w:p>
            <w:pPr>
              <w:pStyle w:val="Normal"/>
              <w:widowControl w:val="false"/>
              <w:jc w:val="both"/>
              <w:rPr>
                <w:rFonts w:ascii="Arial" w:hAnsi="Arial" w:cs="Arial"/>
                <w:lang w:val="en-GB"/>
              </w:rPr>
            </w:pPr>
            <w:r>
              <w:rPr>
                <w:rFonts w:cs="Arial" w:ascii="Arial" w:hAnsi="Arial"/>
                <w:lang w:val="en-GB"/>
              </w:rPr>
            </w:r>
          </w:p>
          <w:p>
            <w:pPr>
              <w:pStyle w:val="Normal"/>
              <w:widowControl w:val="false"/>
              <w:jc w:val="both"/>
              <w:rPr>
                <w:rFonts w:ascii="Arial" w:hAnsi="Arial" w:cs="Arial"/>
                <w:lang w:val="en-GB"/>
              </w:rPr>
            </w:pPr>
            <w:r>
              <w:rPr>
                <w:rFonts w:cs="Arial" w:ascii="Arial" w:hAnsi="Arial"/>
                <w:lang w:val="en-GB"/>
              </w:rPr>
              <w:t>Seal</w:t>
            </w:r>
          </w:p>
        </w:tc>
      </w:tr>
    </w:tbl>
    <w:p>
      <w:pPr>
        <w:pStyle w:val="Normal"/>
        <w:jc w:val="both"/>
        <w:rPr>
          <w:rFonts w:ascii="Arial" w:hAnsi="Arial" w:cs="Arial"/>
          <w:lang w:val="en-GB"/>
        </w:rPr>
      </w:pPr>
      <w:r>
        <w:rPr>
          <w:rFonts w:cs="Arial" w:ascii="Arial" w:hAnsi="Arial"/>
          <w:lang w:val="en-GB"/>
        </w:rPr>
      </w:r>
      <w:r>
        <w:br w:type="page"/>
      </w:r>
    </w:p>
    <w:p>
      <w:pPr>
        <w:pStyle w:val="Heading2"/>
        <w:rPr>
          <w:rFonts w:ascii="Arial" w:hAnsi="Arial"/>
          <w:lang w:val="en-GB"/>
        </w:rPr>
      </w:pPr>
      <w:bookmarkStart w:id="814" w:name="_Toc50275657"/>
      <w:bookmarkStart w:id="815" w:name="_Toc421454336"/>
      <w:r>
        <w:rPr>
          <w:rFonts w:ascii="Arial" w:hAnsi="Arial"/>
          <w:lang w:val="en-GB"/>
        </w:rPr>
        <w:t>Bank Guarantee for Advance Payment (Form PG3 – 12)</w:t>
      </w:r>
      <w:bookmarkEnd w:id="814"/>
      <w:bookmarkEnd w:id="815"/>
    </w:p>
    <w:p>
      <w:pPr>
        <w:pStyle w:val="Normal"/>
        <w:jc w:val="both"/>
        <w:rPr>
          <w:rFonts w:ascii="Arial" w:hAnsi="Arial" w:cs="Arial"/>
          <w:lang w:val="en-GB"/>
        </w:rPr>
      </w:pPr>
      <w:r>
        <w:rPr>
          <w:rFonts w:cs="Arial" w:ascii="Arial" w:hAnsi="Arial"/>
          <w:lang w:val="en-GB"/>
        </w:rPr>
      </w:r>
    </w:p>
    <w:p>
      <w:pPr>
        <w:pStyle w:val="Normal"/>
        <w:jc w:val="center"/>
        <w:rPr>
          <w:rFonts w:ascii="Arial" w:hAnsi="Arial" w:cs="Arial"/>
          <w:i/>
          <w:i/>
          <w:iCs/>
          <w:sz w:val="22"/>
          <w:szCs w:val="22"/>
          <w:lang w:val="en-GB"/>
        </w:rPr>
      </w:pPr>
      <w:r>
        <w:rPr>
          <w:rFonts w:cs="Arial" w:ascii="Arial" w:hAnsi="Arial"/>
          <w:i/>
          <w:iCs/>
          <w:sz w:val="22"/>
          <w:szCs w:val="22"/>
          <w:lang w:val="en-GB"/>
        </w:rPr>
        <w:t>[this is the format for the Advance Payment Security to be issued by a scheduled Bank of Bangladesh in accordance with GCC Clause 26.1]</w:t>
      </w:r>
    </w:p>
    <w:p>
      <w:pPr>
        <w:pStyle w:val="Normal"/>
        <w:rPr>
          <w:rFonts w:ascii="Arial" w:hAnsi="Arial" w:cs="Arial"/>
          <w:sz w:val="18"/>
          <w:szCs w:val="18"/>
          <w:lang w:val="en-GB"/>
        </w:rPr>
      </w:pPr>
      <w:r>
        <w:rPr>
          <w:rFonts w:cs="Arial" w:ascii="Arial" w:hAnsi="Arial"/>
          <w:sz w:val="18"/>
          <w:szCs w:val="18"/>
          <w:lang w:val="en-GB"/>
        </w:rPr>
      </w:r>
    </w:p>
    <w:tbl>
      <w:tblPr>
        <w:tblW w:w="9000"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4512"/>
        <w:gridCol w:w="4487"/>
      </w:tblGrid>
      <w:tr>
        <w:trPr/>
        <w:tc>
          <w:tcPr>
            <w:tcW w:w="4512" w:type="dxa"/>
            <w:tcBorders/>
          </w:tcPr>
          <w:p>
            <w:pPr>
              <w:pStyle w:val="Normal"/>
              <w:widowControl w:val="false"/>
              <w:jc w:val="both"/>
              <w:rPr>
                <w:rFonts w:ascii="Arial" w:hAnsi="Arial" w:cs="Arial"/>
                <w:lang w:val="en-GB"/>
              </w:rPr>
            </w:pPr>
            <w:r>
              <w:rPr>
                <w:rFonts w:cs="Arial" w:ascii="Arial" w:hAnsi="Arial"/>
                <w:lang w:val="en-GB"/>
              </w:rPr>
              <w:t>Contract No:</w:t>
            </w:r>
          </w:p>
          <w:p>
            <w:pPr>
              <w:pStyle w:val="Normal"/>
              <w:widowControl w:val="false"/>
              <w:jc w:val="both"/>
              <w:rPr>
                <w:rFonts w:ascii="Arial" w:hAnsi="Arial" w:cs="Arial"/>
                <w:lang w:val="en-GB"/>
              </w:rPr>
            </w:pPr>
            <w:r>
              <w:rPr>
                <w:rFonts w:cs="Arial" w:ascii="Arial" w:hAnsi="Arial"/>
                <w:lang w:val="en-GB"/>
              </w:rPr>
            </w:r>
          </w:p>
        </w:tc>
        <w:tc>
          <w:tcPr>
            <w:tcW w:w="4487" w:type="dxa"/>
            <w:tcBorders/>
          </w:tcPr>
          <w:p>
            <w:pPr>
              <w:pStyle w:val="Normal"/>
              <w:widowControl w:val="false"/>
              <w:jc w:val="both"/>
              <w:rPr>
                <w:rFonts w:ascii="Arial" w:hAnsi="Arial" w:cs="Arial"/>
                <w:lang w:val="en-GB"/>
              </w:rPr>
            </w:pPr>
            <w:r>
              <w:rPr>
                <w:rFonts w:cs="Arial" w:ascii="Arial" w:hAnsi="Arial"/>
                <w:lang w:val="en-GB"/>
              </w:rPr>
              <w:t>Date:</w:t>
            </w:r>
          </w:p>
        </w:tc>
      </w:tr>
      <w:tr>
        <w:trPr/>
        <w:tc>
          <w:tcPr>
            <w:tcW w:w="4512" w:type="dxa"/>
            <w:tcBorders/>
          </w:tcPr>
          <w:p>
            <w:pPr>
              <w:pStyle w:val="Normal"/>
              <w:widowControl w:val="false"/>
              <w:jc w:val="both"/>
              <w:rPr>
                <w:rFonts w:ascii="Arial" w:hAnsi="Arial" w:cs="Arial"/>
                <w:lang w:val="en-GB"/>
              </w:rPr>
            </w:pPr>
            <w:r>
              <w:rPr>
                <w:rFonts w:cs="Arial" w:ascii="Arial" w:hAnsi="Arial"/>
                <w:lang w:val="en-GB"/>
              </w:rPr>
            </w:r>
          </w:p>
        </w:tc>
        <w:tc>
          <w:tcPr>
            <w:tcW w:w="4487" w:type="dxa"/>
            <w:tcBorders/>
          </w:tcPr>
          <w:p>
            <w:pPr>
              <w:pStyle w:val="Normal"/>
              <w:widowControl w:val="false"/>
              <w:jc w:val="both"/>
              <w:rPr>
                <w:rFonts w:ascii="Arial" w:hAnsi="Arial" w:cs="Arial"/>
                <w:lang w:val="en-GB"/>
              </w:rPr>
            </w:pPr>
            <w:r>
              <w:rPr>
                <w:rFonts w:cs="Arial" w:ascii="Arial" w:hAnsi="Arial"/>
                <w:lang w:val="en-GB"/>
              </w:rPr>
            </w:r>
          </w:p>
        </w:tc>
      </w:tr>
      <w:tr>
        <w:trPr/>
        <w:tc>
          <w:tcPr>
            <w:tcW w:w="4512" w:type="dxa"/>
            <w:tcBorders/>
          </w:tcPr>
          <w:p>
            <w:pPr>
              <w:pStyle w:val="Normal"/>
              <w:widowControl w:val="false"/>
              <w:jc w:val="both"/>
              <w:rPr>
                <w:rFonts w:ascii="Arial" w:hAnsi="Arial" w:cs="Arial"/>
                <w:lang w:val="en-GB"/>
              </w:rPr>
            </w:pPr>
            <w:r>
              <w:rPr>
                <w:rFonts w:cs="Arial" w:ascii="Arial" w:hAnsi="Arial"/>
                <w:lang w:val="en-GB"/>
              </w:rPr>
              <w:t>To:</w:t>
            </w:r>
          </w:p>
          <w:p>
            <w:pPr>
              <w:pStyle w:val="Normal"/>
              <w:widowControl w:val="false"/>
              <w:rPr>
                <w:rFonts w:ascii="Arial" w:hAnsi="Arial" w:cs="Arial"/>
                <w:lang w:val="en-GB"/>
              </w:rPr>
            </w:pPr>
            <w:r>
              <w:rPr>
                <w:rFonts w:cs="Arial" w:ascii="Arial" w:hAnsi="Arial"/>
                <w:lang w:val="en-GB"/>
              </w:rPr>
            </w:r>
          </w:p>
          <w:p>
            <w:pPr>
              <w:pStyle w:val="Normal"/>
              <w:widowControl w:val="false"/>
              <w:rPr>
                <w:rFonts w:ascii="Arial" w:hAnsi="Arial" w:cs="Arial"/>
                <w:lang w:val="en-GB"/>
              </w:rPr>
            </w:pPr>
            <w:bookmarkStart w:id="816" w:name="_Toc50275658"/>
            <w:r>
              <w:rPr>
                <w:rFonts w:cs="Arial" w:ascii="Arial" w:hAnsi="Arial"/>
                <w:lang w:val="en-GB"/>
              </w:rPr>
              <w:t>[Name and address of Procuring Entity]</w:t>
            </w:r>
            <w:bookmarkEnd w:id="816"/>
          </w:p>
          <w:p>
            <w:pPr>
              <w:pStyle w:val="Footnote"/>
              <w:widowControl w:val="false"/>
              <w:rPr>
                <w:rFonts w:ascii="Arial" w:hAnsi="Arial" w:cs="Arial"/>
                <w:lang w:val="en-GB"/>
              </w:rPr>
            </w:pPr>
            <w:r>
              <w:rPr>
                <w:rFonts w:cs="Arial" w:ascii="Arial" w:hAnsi="Arial"/>
                <w:lang w:val="en-GB"/>
              </w:rPr>
            </w:r>
          </w:p>
        </w:tc>
        <w:tc>
          <w:tcPr>
            <w:tcW w:w="4487" w:type="dxa"/>
            <w:tcBorders/>
          </w:tcPr>
          <w:p>
            <w:pPr>
              <w:pStyle w:val="Normal"/>
              <w:widowControl w:val="false"/>
              <w:jc w:val="both"/>
              <w:rPr>
                <w:rFonts w:ascii="Arial" w:hAnsi="Arial" w:cs="Arial"/>
                <w:lang w:val="en-GB"/>
              </w:rPr>
            </w:pPr>
            <w:r>
              <w:rPr>
                <w:rFonts w:cs="Arial" w:ascii="Arial" w:hAnsi="Arial"/>
                <w:lang w:val="en-GB"/>
              </w:rPr>
            </w:r>
          </w:p>
        </w:tc>
      </w:tr>
    </w:tbl>
    <w:p>
      <w:pPr>
        <w:pStyle w:val="Normal"/>
        <w:jc w:val="both"/>
        <w:rPr>
          <w:rFonts w:ascii="Arial" w:hAnsi="Arial" w:cs="Arial"/>
          <w:lang w:val="en-GB"/>
        </w:rPr>
      </w:pPr>
      <w:r>
        <w:rPr>
          <w:rFonts w:cs="Arial" w:ascii="Arial" w:hAnsi="Arial"/>
          <w:lang w:val="en-GB"/>
        </w:rPr>
      </w:r>
    </w:p>
    <w:p>
      <w:pPr>
        <w:pStyle w:val="Normal"/>
        <w:jc w:val="center"/>
        <w:rPr>
          <w:rFonts w:ascii="Arial" w:hAnsi="Arial" w:cs="Arial"/>
          <w:sz w:val="18"/>
          <w:szCs w:val="18"/>
          <w:lang w:val="en-GB"/>
        </w:rPr>
      </w:pPr>
      <w:r>
        <w:rPr>
          <w:rFonts w:cs="Arial" w:ascii="Arial" w:hAnsi="Arial"/>
          <w:b/>
          <w:bCs/>
          <w:lang w:val="en-GB"/>
        </w:rPr>
        <w:t xml:space="preserve">ADVANCE PAYMENT GUARANTEE No: </w:t>
      </w:r>
      <w:r>
        <w:rPr>
          <w:rFonts w:cs="Arial" w:ascii="Arial" w:hAnsi="Arial"/>
          <w:bCs/>
          <w:sz w:val="18"/>
          <w:szCs w:val="18"/>
          <w:lang w:val="en-GB"/>
        </w:rPr>
        <w:t xml:space="preserve">[insert number] </w:t>
      </w:r>
    </w:p>
    <w:p>
      <w:pPr>
        <w:pStyle w:val="Normal"/>
        <w:jc w:val="center"/>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t xml:space="preserve">We have been informed that </w:t>
      </w:r>
      <w:r>
        <w:rPr>
          <w:rFonts w:cs="Arial" w:ascii="Arial" w:hAnsi="Arial"/>
          <w:i/>
          <w:iCs/>
          <w:lang w:val="en-GB"/>
        </w:rPr>
        <w:t>[name of supplier]</w:t>
      </w:r>
      <w:r>
        <w:rPr>
          <w:rFonts w:cs="Arial" w:ascii="Arial" w:hAnsi="Arial"/>
          <w:lang w:val="en-GB"/>
        </w:rPr>
        <w:t xml:space="preserve"> (hereinafter called “the Supplier”) has undertaken, pursuant to Contract No </w:t>
      </w:r>
      <w:r>
        <w:rPr>
          <w:rFonts w:cs="Arial" w:ascii="Arial" w:hAnsi="Arial"/>
          <w:i/>
          <w:iCs/>
          <w:lang w:val="en-GB"/>
        </w:rPr>
        <w:t>[reference number of Contract]</w:t>
      </w:r>
      <w:r>
        <w:rPr>
          <w:rFonts w:cs="Arial" w:ascii="Arial" w:hAnsi="Arial"/>
          <w:lang w:val="en-GB"/>
        </w:rPr>
        <w:t xml:space="preserve"> dated </w:t>
      </w:r>
      <w:r>
        <w:rPr>
          <w:rFonts w:cs="Arial" w:ascii="Arial" w:hAnsi="Arial"/>
          <w:i/>
          <w:iCs/>
          <w:lang w:val="en-GB"/>
        </w:rPr>
        <w:t>[date of Contract]</w:t>
      </w:r>
      <w:r>
        <w:rPr>
          <w:rFonts w:cs="Arial" w:ascii="Arial" w:hAnsi="Arial"/>
          <w:lang w:val="en-GB"/>
        </w:rPr>
        <w:t xml:space="preserve"> (hereinafter called “the Contract”) for the supply of </w:t>
      </w:r>
      <w:r>
        <w:rPr>
          <w:rFonts w:cs="Arial" w:ascii="Arial" w:hAnsi="Arial"/>
          <w:i/>
          <w:iCs/>
          <w:lang w:val="en-GB"/>
        </w:rPr>
        <w:t>[description of goods and related services]</w:t>
      </w:r>
      <w:r>
        <w:rPr>
          <w:rFonts w:cs="Arial" w:ascii="Arial" w:hAnsi="Arial"/>
          <w:lang w:val="en-GB"/>
        </w:rPr>
        <w:t xml:space="preserve"> under the Contract.</w:t>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t>Furthermore, we understand that, according to your Particular Conditions of Contract Clause 25.1, Advance Payment(s) on Contracts must be supported by an irrevocable unconditional Bank Guarantee.</w:t>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t xml:space="preserve">At the request of the Supplier, we </w:t>
      </w:r>
      <w:r>
        <w:rPr>
          <w:rFonts w:cs="Arial" w:ascii="Arial" w:hAnsi="Arial"/>
          <w:i/>
          <w:iCs/>
          <w:lang w:val="en-GB"/>
        </w:rPr>
        <w:t>[name of bank]</w:t>
      </w:r>
      <w:r>
        <w:rPr>
          <w:rFonts w:cs="Arial" w:ascii="Arial" w:hAnsi="Arial"/>
          <w:lang w:val="en-GB"/>
        </w:rPr>
        <w:t xml:space="preserve"> hereby irrevocably unconditionally  undertake to pay you, without cavil or argument, any sum or sums not exceeding in total an amount of Tk </w:t>
      </w:r>
      <w:r>
        <w:rPr>
          <w:rFonts w:cs="Arial" w:ascii="Arial" w:hAnsi="Arial"/>
          <w:i/>
          <w:iCs/>
          <w:lang w:val="en-GB"/>
        </w:rPr>
        <w:t>[insert amount in figures and in words]</w:t>
      </w:r>
      <w:r>
        <w:rPr>
          <w:rFonts w:cs="Arial" w:ascii="Arial" w:hAnsi="Arial"/>
          <w:lang w:val="en-GB"/>
        </w:rPr>
        <w:t xml:space="preserve"> upon receipt by us of your first written demand accompanied by a written statement that the Supplier is in breach of its obligation(s) under the Contract conditions, without you needing to prove or show grounds or reasons for your demand of the sum specified therein.</w:t>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t>We further agree that no change, addition or other modification of the terms of the Contract to be performed, or of any of the Contract documents which may be made between the Procuring Entity and the Supplier, shall in any way release us from any liability under this guarantee, and we hereby waive notice of any such change, addition or modification.</w:t>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t xml:space="preserve">This guarantee is valid until </w:t>
      </w:r>
      <w:r>
        <w:rPr>
          <w:rFonts w:cs="Arial" w:ascii="Arial" w:hAnsi="Arial"/>
          <w:i/>
          <w:iCs/>
          <w:lang w:val="en-GB"/>
        </w:rPr>
        <w:t>[date of validity of guarantee]</w:t>
      </w:r>
      <w:r>
        <w:rPr>
          <w:rFonts w:cs="Arial" w:ascii="Arial" w:hAnsi="Arial"/>
          <w:lang w:val="en-GB"/>
        </w:rPr>
        <w:t>, consequently, we must receive at the above-mentioned office any demand for payment under this guarantee on or before that date.</w:t>
      </w:r>
    </w:p>
    <w:p>
      <w:pPr>
        <w:pStyle w:val="Normal"/>
        <w:jc w:val="both"/>
        <w:rPr>
          <w:rFonts w:ascii="Arial" w:hAnsi="Arial" w:cs="Arial"/>
          <w:lang w:val="en-GB"/>
        </w:rPr>
      </w:pPr>
      <w:r>
        <w:rPr>
          <w:rFonts w:cs="Arial" w:ascii="Arial" w:hAnsi="Arial"/>
          <w:lang w:val="en-GB"/>
        </w:rPr>
      </w:r>
    </w:p>
    <w:p>
      <w:pPr>
        <w:pStyle w:val="Normal"/>
        <w:jc w:val="both"/>
        <w:rPr>
          <w:rFonts w:ascii="Arial" w:hAnsi="Arial" w:cs="Arial"/>
          <w:lang w:val="en-GB"/>
        </w:rPr>
      </w:pPr>
      <w:r>
        <w:rPr>
          <w:rFonts w:cs="Arial" w:ascii="Arial" w:hAnsi="Arial"/>
          <w:lang w:val="en-GB"/>
        </w:rPr>
      </w:r>
    </w:p>
    <w:p>
      <w:pPr>
        <w:pStyle w:val="Footnote"/>
        <w:rPr>
          <w:rFonts w:ascii="Arial" w:hAnsi="Arial" w:cs="Arial"/>
          <w:i/>
          <w:i/>
          <w:lang w:val="en-GB"/>
        </w:rPr>
      </w:pPr>
      <w:r>
        <w:rPr>
          <w:rFonts w:cs="Arial" w:ascii="Arial" w:hAnsi="Arial"/>
          <w:i/>
          <w:lang w:val="en-GB"/>
        </w:rPr>
        <w:t>[Signatures of authorized representatives of the bank]</w:t>
      </w:r>
    </w:p>
    <w:p>
      <w:pPr>
        <w:pStyle w:val="Normal"/>
        <w:jc w:val="both"/>
        <w:rPr>
          <w:rFonts w:ascii="Arial" w:hAnsi="Arial" w:cs="Arial"/>
          <w:lang w:val="en-GB"/>
        </w:rPr>
      </w:pPr>
      <w:r>
        <w:rPr>
          <w:rFonts w:cs="Arial" w:ascii="Arial" w:hAnsi="Arial"/>
          <w:lang w:val="en-GB"/>
        </w:rPr>
      </w:r>
    </w:p>
    <w:tbl>
      <w:tblPr>
        <w:tblW w:w="9000"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4512"/>
        <w:gridCol w:w="4487"/>
      </w:tblGrid>
      <w:tr>
        <w:trPr/>
        <w:tc>
          <w:tcPr>
            <w:tcW w:w="4512" w:type="dxa"/>
            <w:tcBorders/>
          </w:tcPr>
          <w:p>
            <w:pPr>
              <w:pStyle w:val="Normal"/>
              <w:widowControl w:val="false"/>
              <w:jc w:val="both"/>
              <w:rPr>
                <w:rFonts w:ascii="Arial" w:hAnsi="Arial" w:cs="Arial"/>
                <w:lang w:val="en-GB"/>
              </w:rPr>
            </w:pPr>
            <w:r>
              <w:rPr>
                <w:rFonts w:cs="Arial" w:ascii="Arial" w:hAnsi="Arial"/>
                <w:lang w:val="en-GB"/>
              </w:rPr>
            </w:r>
          </w:p>
          <w:p>
            <w:pPr>
              <w:pStyle w:val="Normal"/>
              <w:widowControl w:val="false"/>
              <w:jc w:val="both"/>
              <w:rPr>
                <w:rFonts w:ascii="Arial" w:hAnsi="Arial" w:cs="Arial"/>
                <w:lang w:val="en-GB"/>
              </w:rPr>
            </w:pPr>
            <w:r>
              <w:rPr>
                <w:rFonts w:cs="Arial" w:ascii="Arial" w:hAnsi="Arial"/>
                <w:lang w:val="en-GB"/>
              </w:rPr>
            </w:r>
          </w:p>
          <w:p>
            <w:pPr>
              <w:pStyle w:val="Normal"/>
              <w:widowControl w:val="false"/>
              <w:jc w:val="both"/>
              <w:rPr>
                <w:rFonts w:ascii="Arial" w:hAnsi="Arial" w:cs="Arial"/>
                <w:lang w:val="fr-FR"/>
              </w:rPr>
            </w:pPr>
            <w:r>
              <w:rPr>
                <w:rFonts w:cs="Arial" w:ascii="Arial" w:hAnsi="Arial"/>
                <w:lang w:val="fr-FR"/>
              </w:rPr>
              <w:t>Signature</w:t>
            </w:r>
          </w:p>
        </w:tc>
        <w:tc>
          <w:tcPr>
            <w:tcW w:w="4487" w:type="dxa"/>
            <w:tcBorders/>
          </w:tcPr>
          <w:p>
            <w:pPr>
              <w:pStyle w:val="Normal"/>
              <w:widowControl w:val="false"/>
              <w:jc w:val="both"/>
              <w:rPr>
                <w:rFonts w:ascii="Arial" w:hAnsi="Arial" w:cs="Arial"/>
                <w:lang w:val="fr-FR"/>
              </w:rPr>
            </w:pPr>
            <w:r>
              <w:rPr>
                <w:rFonts w:cs="Arial" w:ascii="Arial" w:hAnsi="Arial"/>
                <w:lang w:val="fr-FR"/>
              </w:rPr>
            </w:r>
          </w:p>
          <w:p>
            <w:pPr>
              <w:pStyle w:val="Normal"/>
              <w:widowControl w:val="false"/>
              <w:jc w:val="both"/>
              <w:rPr>
                <w:rFonts w:ascii="Arial" w:hAnsi="Arial" w:cs="Arial"/>
                <w:lang w:val="fr-FR"/>
              </w:rPr>
            </w:pPr>
            <w:r>
              <w:rPr>
                <w:rFonts w:cs="Arial" w:ascii="Arial" w:hAnsi="Arial"/>
                <w:lang w:val="fr-FR"/>
              </w:rPr>
            </w:r>
          </w:p>
          <w:p>
            <w:pPr>
              <w:pStyle w:val="Normal"/>
              <w:widowControl w:val="false"/>
              <w:jc w:val="both"/>
              <w:rPr>
                <w:rFonts w:ascii="Arial" w:hAnsi="Arial" w:cs="Arial"/>
                <w:lang w:val="fr-FR"/>
              </w:rPr>
            </w:pPr>
            <w:r>
              <w:rPr>
                <w:rFonts w:cs="Arial" w:ascii="Arial" w:hAnsi="Arial"/>
                <w:lang w:val="fr-FR"/>
              </w:rPr>
              <w:t>Seal</w:t>
            </w:r>
          </w:p>
        </w:tc>
      </w:tr>
    </w:tbl>
    <w:p>
      <w:pPr>
        <w:pStyle w:val="Normal"/>
        <w:jc w:val="both"/>
        <w:rPr>
          <w:rFonts w:ascii="Arial" w:hAnsi="Arial" w:cs="Arial"/>
          <w:lang w:val="fr-FR"/>
        </w:rPr>
      </w:pPr>
      <w:r>
        <w:rPr>
          <w:rFonts w:cs="Arial" w:ascii="Arial" w:hAnsi="Arial"/>
          <w:lang w:val="fr-FR"/>
        </w:rPr>
      </w:r>
    </w:p>
    <w:p>
      <w:pPr>
        <w:pStyle w:val="Heading1"/>
        <w:rPr>
          <w:rFonts w:ascii="Arial" w:hAnsi="Arial" w:cs="Arial"/>
          <w:sz w:val="32"/>
          <w:lang w:val="fr-FR"/>
        </w:rPr>
      </w:pPr>
      <w:bookmarkStart w:id="817" w:name="_Toc421454337"/>
      <w:r>
        <w:rPr>
          <w:rFonts w:cs="Arial" w:ascii="Arial" w:hAnsi="Arial"/>
          <w:sz w:val="32"/>
          <w:lang w:val="fr-FR"/>
        </w:rPr>
        <w:t>Section 6.</w:t>
        <w:tab/>
        <w:t>Schedule of Requirements</w:t>
      </w:r>
      <w:bookmarkEnd w:id="817"/>
    </w:p>
    <w:tbl>
      <w:tblPr>
        <w:tblW w:w="9198" w:type="dxa"/>
        <w:jc w:val="left"/>
        <w:tblInd w:w="0" w:type="dxa"/>
        <w:tblLayout w:type="fixed"/>
        <w:tblCellMar>
          <w:top w:w="0" w:type="dxa"/>
          <w:left w:w="108" w:type="dxa"/>
          <w:bottom w:w="0" w:type="dxa"/>
          <w:right w:w="108" w:type="dxa"/>
        </w:tblCellMar>
        <w:tblLook w:val="01e0" w:noHBand="0" w:noVBand="0" w:firstColumn="1" w:lastRow="1" w:lastColumn="1" w:firstRow="1"/>
      </w:tblPr>
      <w:tblGrid>
        <w:gridCol w:w="2626"/>
        <w:gridCol w:w="2791"/>
        <w:gridCol w:w="1350"/>
        <w:gridCol w:w="2430"/>
      </w:tblGrid>
      <w:tr>
        <w:trPr/>
        <w:tc>
          <w:tcPr>
            <w:tcW w:w="2626" w:type="dxa"/>
            <w:tcBorders/>
          </w:tcPr>
          <w:p>
            <w:pPr>
              <w:pStyle w:val="Normal"/>
              <w:widowControl w:val="false"/>
              <w:rPr>
                <w:rFonts w:ascii="Arial" w:hAnsi="Arial" w:cs="Arial"/>
                <w:spacing w:val="-4"/>
                <w:sz w:val="22"/>
                <w:szCs w:val="22"/>
                <w:lang w:val="en-GB"/>
              </w:rPr>
            </w:pPr>
            <w:r>
              <w:rPr>
                <w:rFonts w:cs="Arial" w:ascii="Arial" w:hAnsi="Arial"/>
                <w:spacing w:val="-4"/>
                <w:sz w:val="22"/>
                <w:szCs w:val="22"/>
                <w:lang w:val="en-GB"/>
              </w:rPr>
              <w:t>Invitation for Tender No:</w:t>
            </w:r>
          </w:p>
        </w:tc>
        <w:tc>
          <w:tcPr>
            <w:tcW w:w="2791" w:type="dxa"/>
            <w:tcBorders/>
          </w:tcPr>
          <w:p>
            <w:pPr>
              <w:pStyle w:val="Normal"/>
              <w:widowControl w:val="false"/>
              <w:ind w:left="-107" w:hanging="0"/>
              <w:rPr>
                <w:rFonts w:ascii="Arial" w:hAnsi="Arial" w:cs="Arial"/>
                <w:sz w:val="22"/>
                <w:szCs w:val="22"/>
                <w:lang w:val="en-GB"/>
              </w:rPr>
            </w:pPr>
            <w:r>
              <w:rPr>
                <w:rFonts w:eastAsia="Times New Roman" w:cs="Arial" w:ascii="Arial" w:hAnsi="Arial"/>
                <w:b/>
                <w:spacing w:val="-6"/>
                <w:w w:val="90"/>
                <w:sz w:val="22"/>
                <w:lang w:val="en-GB"/>
              </w:rPr>
              <w:t>DU/CAO/OTM/2023/147/001</w:t>
            </w:r>
          </w:p>
        </w:tc>
        <w:tc>
          <w:tcPr>
            <w:tcW w:w="1350" w:type="dxa"/>
            <w:tcBorders/>
          </w:tcPr>
          <w:p>
            <w:pPr>
              <w:pStyle w:val="Normal"/>
              <w:widowControl w:val="false"/>
              <w:rPr>
                <w:rFonts w:ascii="Arial" w:hAnsi="Arial" w:cs="Arial"/>
                <w:sz w:val="22"/>
                <w:szCs w:val="22"/>
                <w:lang w:val="en-GB"/>
              </w:rPr>
            </w:pPr>
            <w:r>
              <w:rPr>
                <w:rFonts w:cs="Arial" w:ascii="Arial" w:hAnsi="Arial"/>
                <w:sz w:val="22"/>
                <w:szCs w:val="22"/>
                <w:lang w:val="en-GB"/>
              </w:rPr>
              <w:t>Date:</w:t>
            </w:r>
          </w:p>
        </w:tc>
        <w:tc>
          <w:tcPr>
            <w:tcW w:w="2430" w:type="dxa"/>
            <w:tcBorders/>
          </w:tcPr>
          <w:p>
            <w:pPr>
              <w:pStyle w:val="Normal"/>
              <w:widowControl w:val="false"/>
              <w:rPr>
                <w:rFonts w:ascii="Arial" w:hAnsi="Arial" w:cs="Arial"/>
                <w:sz w:val="22"/>
                <w:szCs w:val="22"/>
                <w:lang w:val="en-GB"/>
              </w:rPr>
            </w:pPr>
            <w:r>
              <w:rPr>
                <w:rFonts w:eastAsia="Times New Roman" w:cs="Arial" w:ascii="Arial" w:hAnsi="Arial"/>
                <w:b/>
                <w:sz w:val="20"/>
                <w:szCs w:val="22"/>
                <w:lang w:val="en-GB"/>
              </w:rPr>
              <w:t>15.02.2023</w:t>
            </w:r>
          </w:p>
        </w:tc>
      </w:tr>
      <w:tr>
        <w:trPr/>
        <w:tc>
          <w:tcPr>
            <w:tcW w:w="2626" w:type="dxa"/>
            <w:tcBorders/>
          </w:tcPr>
          <w:p>
            <w:pPr>
              <w:pStyle w:val="Normal"/>
              <w:widowControl w:val="false"/>
              <w:rPr>
                <w:rFonts w:ascii="Arial" w:hAnsi="Arial" w:cs="Arial"/>
                <w:spacing w:val="-6"/>
                <w:sz w:val="22"/>
                <w:szCs w:val="22"/>
                <w:lang w:val="en-GB"/>
              </w:rPr>
            </w:pPr>
            <w:r>
              <w:rPr>
                <w:rFonts w:cs="Arial" w:ascii="Arial" w:hAnsi="Arial"/>
                <w:spacing w:val="-6"/>
                <w:sz w:val="22"/>
                <w:szCs w:val="22"/>
                <w:lang w:val="en-GB"/>
              </w:rPr>
              <w:t>Tender Package No:</w:t>
            </w:r>
          </w:p>
        </w:tc>
        <w:tc>
          <w:tcPr>
            <w:tcW w:w="2791" w:type="dxa"/>
            <w:tcBorders/>
          </w:tcPr>
          <w:p>
            <w:pPr>
              <w:pStyle w:val="Normal"/>
              <w:widowControl w:val="false"/>
              <w:ind w:left="-107" w:hanging="0"/>
              <w:rPr>
                <w:rFonts w:ascii="Arial" w:hAnsi="Arial" w:cs="Arial"/>
                <w:sz w:val="22"/>
                <w:szCs w:val="22"/>
                <w:lang w:val="en-GB"/>
              </w:rPr>
            </w:pPr>
            <w:r>
              <w:rPr>
                <w:rFonts w:cs="Arial" w:ascii="Arial" w:hAnsi="Arial"/>
                <w:sz w:val="22"/>
                <w:szCs w:val="22"/>
                <w:lang w:val="en-GB"/>
              </w:rPr>
              <w:t>G/CAO/2023/01</w:t>
            </w:r>
          </w:p>
        </w:tc>
        <w:tc>
          <w:tcPr>
            <w:tcW w:w="1350" w:type="dxa"/>
            <w:tcBorders/>
          </w:tcPr>
          <w:p>
            <w:pPr>
              <w:pStyle w:val="Normal"/>
              <w:widowControl w:val="false"/>
              <w:rPr>
                <w:rFonts w:ascii="Arial" w:hAnsi="Arial" w:cs="Arial"/>
                <w:spacing w:val="-4"/>
                <w:sz w:val="22"/>
                <w:szCs w:val="22"/>
                <w:lang w:val="en-GB"/>
              </w:rPr>
            </w:pPr>
            <w:r>
              <w:rPr>
                <w:rFonts w:cs="Arial" w:ascii="Arial" w:hAnsi="Arial"/>
                <w:spacing w:val="-4"/>
                <w:sz w:val="22"/>
                <w:szCs w:val="22"/>
                <w:lang w:val="en-GB"/>
              </w:rPr>
            </w:r>
          </w:p>
        </w:tc>
        <w:tc>
          <w:tcPr>
            <w:tcW w:w="2430" w:type="dxa"/>
            <w:tcBorders/>
          </w:tcPr>
          <w:p>
            <w:pPr>
              <w:pStyle w:val="Normal"/>
              <w:widowControl w:val="false"/>
              <w:rPr>
                <w:rFonts w:ascii="Arial" w:hAnsi="Arial" w:cs="Arial"/>
                <w:sz w:val="22"/>
                <w:szCs w:val="22"/>
                <w:lang w:val="en-GB"/>
              </w:rPr>
            </w:pPr>
            <w:r>
              <w:rPr>
                <w:rFonts w:cs="Arial" w:ascii="Arial" w:hAnsi="Arial"/>
                <w:sz w:val="22"/>
                <w:szCs w:val="22"/>
                <w:lang w:val="en-GB"/>
              </w:rPr>
            </w:r>
          </w:p>
        </w:tc>
      </w:tr>
      <w:tr>
        <w:trPr/>
        <w:tc>
          <w:tcPr>
            <w:tcW w:w="2626" w:type="dxa"/>
            <w:tcBorders/>
          </w:tcPr>
          <w:p>
            <w:pPr>
              <w:pStyle w:val="Normal"/>
              <w:widowControl w:val="false"/>
              <w:rPr>
                <w:rFonts w:ascii="Arial" w:hAnsi="Arial" w:cs="Arial"/>
                <w:sz w:val="22"/>
                <w:szCs w:val="22"/>
                <w:lang w:val="en-GB"/>
              </w:rPr>
            </w:pPr>
            <w:r>
              <w:rPr>
                <w:rFonts w:cs="Arial" w:ascii="Arial" w:hAnsi="Arial"/>
                <w:sz w:val="22"/>
                <w:szCs w:val="22"/>
                <w:lang w:val="en-GB"/>
              </w:rPr>
              <w:t>Lot No:</w:t>
            </w:r>
          </w:p>
        </w:tc>
        <w:tc>
          <w:tcPr>
            <w:tcW w:w="2791" w:type="dxa"/>
            <w:tcBorders/>
          </w:tcPr>
          <w:p>
            <w:pPr>
              <w:pStyle w:val="Normal"/>
              <w:widowControl w:val="false"/>
              <w:rPr>
                <w:rFonts w:ascii="Arial" w:hAnsi="Arial" w:cs="Arial"/>
                <w:sz w:val="22"/>
                <w:szCs w:val="22"/>
                <w:lang w:val="en-GB"/>
              </w:rPr>
            </w:pPr>
            <w:r>
              <w:rPr>
                <w:rFonts w:cs="Arial" w:ascii="Arial" w:hAnsi="Arial"/>
                <w:sz w:val="22"/>
                <w:szCs w:val="22"/>
                <w:lang w:val="en-GB"/>
              </w:rPr>
              <w:t>1, 2</w:t>
            </w:r>
          </w:p>
        </w:tc>
        <w:tc>
          <w:tcPr>
            <w:tcW w:w="1350" w:type="dxa"/>
            <w:tcBorders/>
          </w:tcPr>
          <w:p>
            <w:pPr>
              <w:pStyle w:val="Normal"/>
              <w:widowControl w:val="false"/>
              <w:rPr>
                <w:rFonts w:ascii="Arial" w:hAnsi="Arial" w:cs="Arial"/>
                <w:spacing w:val="-4"/>
                <w:sz w:val="22"/>
                <w:szCs w:val="22"/>
                <w:lang w:val="en-GB"/>
              </w:rPr>
            </w:pPr>
            <w:r>
              <w:rPr>
                <w:rFonts w:cs="Arial" w:ascii="Arial" w:hAnsi="Arial"/>
                <w:spacing w:val="-4"/>
                <w:sz w:val="22"/>
                <w:szCs w:val="22"/>
                <w:lang w:val="en-GB"/>
              </w:rPr>
            </w:r>
          </w:p>
        </w:tc>
        <w:tc>
          <w:tcPr>
            <w:tcW w:w="2430" w:type="dxa"/>
            <w:tcBorders/>
          </w:tcPr>
          <w:p>
            <w:pPr>
              <w:pStyle w:val="Normal"/>
              <w:widowControl w:val="false"/>
              <w:rPr>
                <w:rFonts w:ascii="Arial" w:hAnsi="Arial" w:cs="Arial"/>
                <w:i/>
                <w:i/>
                <w:sz w:val="22"/>
                <w:szCs w:val="22"/>
                <w:lang w:val="en-GB"/>
              </w:rPr>
            </w:pPr>
            <w:r>
              <w:rPr>
                <w:rFonts w:cs="Arial" w:ascii="Arial" w:hAnsi="Arial"/>
                <w:i/>
                <w:sz w:val="22"/>
                <w:szCs w:val="22"/>
                <w:lang w:val="en-GB"/>
              </w:rPr>
            </w:r>
          </w:p>
        </w:tc>
      </w:tr>
    </w:tbl>
    <w:p>
      <w:pPr>
        <w:pStyle w:val="Normal"/>
        <w:rPr>
          <w:lang w:val="fr-FR" w:eastAsia="en-US"/>
        </w:rPr>
      </w:pPr>
      <w:r>
        <w:rPr>
          <w:lang w:val="fr-FR" w:eastAsia="en-US"/>
        </w:rPr>
      </w:r>
    </w:p>
    <w:p>
      <w:pPr>
        <w:pStyle w:val="Normal"/>
        <w:rPr>
          <w:vanish/>
        </w:rPr>
      </w:pPr>
      <w:r>
        <w:rPr>
          <w:vanish/>
        </w:rPr>
      </w:r>
    </w:p>
    <w:p>
      <w:pPr>
        <w:pStyle w:val="Normal"/>
        <w:jc w:val="center"/>
        <w:rPr>
          <w:rFonts w:ascii="Arial" w:hAnsi="Arial" w:cs="Arial"/>
          <w:b/>
          <w:b/>
          <w:bCs/>
          <w:sz w:val="28"/>
          <w:szCs w:val="28"/>
          <w:lang w:val="en-GB"/>
        </w:rPr>
      </w:pPr>
      <w:r>
        <w:rPr>
          <w:rFonts w:cs="Arial" w:ascii="Arial" w:hAnsi="Arial"/>
          <w:b/>
          <w:bCs/>
          <w:sz w:val="28"/>
          <w:szCs w:val="28"/>
          <w:lang w:val="en-GB"/>
        </w:rPr>
        <w:t>A.</w:t>
        <w:tab/>
        <w:t>List of Goods and Delivery Schedule</w:t>
      </w:r>
    </w:p>
    <w:p>
      <w:pPr>
        <w:pStyle w:val="SubClauseText"/>
        <w:spacing w:before="0" w:after="0"/>
        <w:rPr>
          <w:rFonts w:ascii="Arial" w:hAnsi="Arial" w:cs="Arial"/>
          <w:sz w:val="22"/>
          <w:szCs w:val="22"/>
          <w:lang w:val="en-GB"/>
        </w:rPr>
      </w:pPr>
      <w:r>
        <w:rPr>
          <w:rFonts w:cs="Arial" w:ascii="Arial" w:hAnsi="Arial"/>
          <w:sz w:val="22"/>
          <w:szCs w:val="22"/>
          <w:lang w:val="en-GB"/>
        </w:rPr>
      </w:r>
    </w:p>
    <w:p>
      <w:pPr>
        <w:pStyle w:val="SubClauseText"/>
        <w:spacing w:before="0" w:after="0"/>
        <w:rPr>
          <w:rFonts w:ascii="Arial" w:hAnsi="Arial" w:cs="Arial"/>
          <w:sz w:val="22"/>
          <w:szCs w:val="22"/>
          <w:lang w:val="en-GB"/>
        </w:rPr>
      </w:pPr>
      <w:r>
        <w:rPr>
          <w:rFonts w:cs="Arial" w:ascii="Arial" w:hAnsi="Arial"/>
          <w:sz w:val="22"/>
          <w:szCs w:val="22"/>
          <w:lang w:val="en-GB"/>
        </w:rPr>
        <w:t>When completing Form PG3-2 the Tenderer shall quote prices and contract delivery dates for each item against each lot and show each Lot separately, as specified in the List of Goods and Delivery Schedule.</w:t>
      </w:r>
    </w:p>
    <w:p>
      <w:pPr>
        <w:pStyle w:val="Normal"/>
        <w:rPr>
          <w:rFonts w:ascii="Arial" w:hAnsi="Arial" w:cs="Arial"/>
          <w:sz w:val="8"/>
          <w:lang w:val="en-GB"/>
        </w:rPr>
      </w:pPr>
      <w:r>
        <w:rPr>
          <w:rFonts w:cs="Arial" w:ascii="Arial" w:hAnsi="Arial"/>
          <w:sz w:val="8"/>
          <w:lang w:val="en-GB"/>
        </w:rPr>
      </w:r>
    </w:p>
    <w:tbl>
      <w:tblPr>
        <w:tblW w:w="9360"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718"/>
        <w:gridCol w:w="3062"/>
        <w:gridCol w:w="1080"/>
        <w:gridCol w:w="1080"/>
        <w:gridCol w:w="2250"/>
        <w:gridCol w:w="1169"/>
      </w:tblGrid>
      <w:tr>
        <w:trPr>
          <w:trHeight w:val="597" w:hRule="atLeast"/>
          <w:cantSplit w:val="true"/>
        </w:trPr>
        <w:tc>
          <w:tcPr>
            <w:tcW w:w="718" w:type="dxa"/>
            <w:tcBorders>
              <w:top w:val="double" w:sz="4" w:space="0" w:color="000000"/>
              <w:left w:val="double" w:sz="4" w:space="0" w:color="000000"/>
              <w:bottom w:val="double" w:sz="4" w:space="0" w:color="000000"/>
              <w:right w:val="single" w:sz="6" w:space="0" w:color="000000"/>
            </w:tcBorders>
          </w:tcPr>
          <w:p>
            <w:pPr>
              <w:pStyle w:val="Normal"/>
              <w:widowControl w:val="false"/>
              <w:jc w:val="center"/>
              <w:rPr>
                <w:rFonts w:ascii="Arial" w:hAnsi="Arial" w:cs="Arial"/>
                <w:b/>
                <w:b/>
                <w:bCs/>
                <w:lang w:val="en-GB"/>
              </w:rPr>
            </w:pPr>
            <w:r>
              <w:rPr>
                <w:rFonts w:cs="Arial" w:ascii="Arial" w:hAnsi="Arial"/>
                <w:b/>
                <w:bCs/>
                <w:lang w:val="en-GB"/>
              </w:rPr>
              <w:t>Item No.</w:t>
            </w:r>
          </w:p>
        </w:tc>
        <w:tc>
          <w:tcPr>
            <w:tcW w:w="3062" w:type="dxa"/>
            <w:tcBorders>
              <w:top w:val="double" w:sz="4" w:space="0" w:color="000000"/>
              <w:left w:val="single" w:sz="6" w:space="0" w:color="000000"/>
              <w:bottom w:val="double" w:sz="4" w:space="0" w:color="000000"/>
              <w:right w:val="single" w:sz="6" w:space="0" w:color="000000"/>
            </w:tcBorders>
          </w:tcPr>
          <w:p>
            <w:pPr>
              <w:pStyle w:val="Normal"/>
              <w:widowControl w:val="false"/>
              <w:jc w:val="center"/>
              <w:rPr>
                <w:rFonts w:ascii="Arial" w:hAnsi="Arial" w:cs="Arial"/>
                <w:b/>
                <w:b/>
                <w:bCs/>
                <w:lang w:val="en-GB"/>
              </w:rPr>
            </w:pPr>
            <w:r>
              <w:rPr>
                <w:rFonts w:cs="Arial" w:ascii="Arial" w:hAnsi="Arial"/>
                <w:b/>
                <w:bCs/>
                <w:lang w:val="en-GB"/>
              </w:rPr>
              <w:t>Description of Item</w:t>
            </w:r>
          </w:p>
        </w:tc>
        <w:tc>
          <w:tcPr>
            <w:tcW w:w="1080" w:type="dxa"/>
            <w:tcBorders>
              <w:top w:val="double" w:sz="4" w:space="0" w:color="000000"/>
              <w:left w:val="single" w:sz="6" w:space="0" w:color="000000"/>
              <w:bottom w:val="double" w:sz="4" w:space="0" w:color="000000"/>
              <w:right w:val="single" w:sz="6" w:space="0" w:color="000000"/>
            </w:tcBorders>
          </w:tcPr>
          <w:p>
            <w:pPr>
              <w:pStyle w:val="Footnote"/>
              <w:widowControl w:val="false"/>
              <w:jc w:val="center"/>
              <w:rPr>
                <w:rFonts w:ascii="Arial" w:hAnsi="Arial" w:cs="Arial"/>
                <w:b/>
                <w:b/>
                <w:bCs/>
                <w:lang w:val="en-GB"/>
              </w:rPr>
            </w:pPr>
            <w:r>
              <w:rPr>
                <w:rFonts w:eastAsia="SimSun" w:cs="Arial" w:ascii="Arial" w:hAnsi="Arial"/>
                <w:b/>
                <w:bCs/>
                <w:sz w:val="24"/>
                <w:szCs w:val="24"/>
                <w:lang w:val="en-GB" w:eastAsia="zh-CN"/>
              </w:rPr>
              <w:t>Unit of Supply</w:t>
            </w:r>
          </w:p>
        </w:tc>
        <w:tc>
          <w:tcPr>
            <w:tcW w:w="1080" w:type="dxa"/>
            <w:tcBorders>
              <w:top w:val="double" w:sz="4" w:space="0" w:color="000000"/>
              <w:left w:val="single" w:sz="6" w:space="0" w:color="000000"/>
              <w:bottom w:val="double" w:sz="4" w:space="0" w:color="000000"/>
              <w:right w:val="single" w:sz="6" w:space="0" w:color="000000"/>
            </w:tcBorders>
          </w:tcPr>
          <w:p>
            <w:pPr>
              <w:pStyle w:val="Normal"/>
              <w:widowControl w:val="false"/>
              <w:jc w:val="center"/>
              <w:rPr>
                <w:rFonts w:ascii="Arial" w:hAnsi="Arial" w:cs="Arial"/>
                <w:b/>
                <w:b/>
                <w:bCs/>
                <w:lang w:val="en-GB"/>
              </w:rPr>
            </w:pPr>
            <w:r>
              <w:rPr>
                <w:rFonts w:cs="Arial" w:ascii="Arial" w:hAnsi="Arial"/>
                <w:b/>
                <w:bCs/>
                <w:lang w:val="en-GB"/>
              </w:rPr>
              <w:t>Quantity of Units required</w:t>
            </w:r>
          </w:p>
        </w:tc>
        <w:tc>
          <w:tcPr>
            <w:tcW w:w="2250" w:type="dxa"/>
            <w:tcBorders>
              <w:top w:val="double" w:sz="4" w:space="0" w:color="000000"/>
              <w:left w:val="single" w:sz="6" w:space="0" w:color="000000"/>
              <w:bottom w:val="double" w:sz="4" w:space="0" w:color="000000"/>
              <w:right w:val="single" w:sz="6" w:space="0" w:color="000000"/>
            </w:tcBorders>
          </w:tcPr>
          <w:p>
            <w:pPr>
              <w:pStyle w:val="Normal"/>
              <w:widowControl w:val="false"/>
              <w:jc w:val="center"/>
              <w:rPr>
                <w:rFonts w:ascii="Arial" w:hAnsi="Arial" w:cs="Arial"/>
                <w:b/>
                <w:b/>
                <w:bCs/>
                <w:lang w:val="en-GB"/>
              </w:rPr>
            </w:pPr>
            <w:r>
              <w:rPr>
                <w:rFonts w:cs="Arial" w:ascii="Arial" w:hAnsi="Arial"/>
                <w:b/>
                <w:bCs/>
                <w:lang w:val="en-GB"/>
              </w:rPr>
              <w:t>Point of Delivery</w:t>
            </w:r>
          </w:p>
        </w:tc>
        <w:tc>
          <w:tcPr>
            <w:tcW w:w="1169" w:type="dxa"/>
            <w:tcBorders>
              <w:top w:val="double" w:sz="4" w:space="0" w:color="000000"/>
              <w:left w:val="single" w:sz="6" w:space="0" w:color="000000"/>
              <w:bottom w:val="double" w:sz="4" w:space="0" w:color="000000"/>
              <w:right w:val="double" w:sz="4" w:space="0" w:color="000000"/>
            </w:tcBorders>
          </w:tcPr>
          <w:p>
            <w:pPr>
              <w:pStyle w:val="Normal"/>
              <w:widowControl w:val="false"/>
              <w:tabs>
                <w:tab w:val="clear" w:pos="720"/>
                <w:tab w:val="left" w:pos="5387" w:leader="none"/>
              </w:tabs>
              <w:jc w:val="center"/>
              <w:rPr>
                <w:rFonts w:ascii="Arial" w:hAnsi="Arial" w:cs="Arial"/>
                <w:b/>
                <w:b/>
                <w:bCs/>
                <w:lang w:val="en-GB"/>
              </w:rPr>
            </w:pPr>
            <w:r>
              <w:rPr>
                <w:rFonts w:cs="Arial" w:ascii="Arial" w:hAnsi="Arial"/>
                <w:b/>
                <w:bCs/>
                <w:lang w:val="en-GB"/>
              </w:rPr>
              <w:t>Date Required (in weeks)</w:t>
            </w:r>
          </w:p>
        </w:tc>
      </w:tr>
      <w:tr>
        <w:trPr>
          <w:trHeight w:val="285" w:hRule="atLeast"/>
          <w:cantSplit w:val="true"/>
        </w:trPr>
        <w:tc>
          <w:tcPr>
            <w:tcW w:w="718" w:type="dxa"/>
            <w:tcBorders>
              <w:top w:val="single" w:sz="6" w:space="0" w:color="000000"/>
              <w:left w:val="double" w:sz="4" w:space="0" w:color="000000"/>
              <w:bottom w:val="double" w:sz="4" w:space="0" w:color="000000"/>
              <w:right w:val="single" w:sz="6" w:space="0" w:color="000000"/>
            </w:tcBorders>
          </w:tcPr>
          <w:p>
            <w:pPr>
              <w:pStyle w:val="Normal"/>
              <w:widowControl w:val="false"/>
              <w:jc w:val="center"/>
              <w:rPr>
                <w:rFonts w:ascii="Arial" w:hAnsi="Arial" w:cs="Arial"/>
                <w:b/>
                <w:b/>
                <w:bCs/>
                <w:lang w:val="en-GB"/>
              </w:rPr>
            </w:pPr>
            <w:r>
              <w:rPr>
                <w:rFonts w:cs="Arial" w:ascii="Arial" w:hAnsi="Arial"/>
                <w:b/>
                <w:bCs/>
                <w:lang w:val="en-GB"/>
              </w:rPr>
              <w:t>1</w:t>
            </w:r>
          </w:p>
        </w:tc>
        <w:tc>
          <w:tcPr>
            <w:tcW w:w="3062" w:type="dxa"/>
            <w:tcBorders>
              <w:top w:val="single" w:sz="6" w:space="0" w:color="000000"/>
              <w:left w:val="single" w:sz="6" w:space="0" w:color="000000"/>
              <w:bottom w:val="double" w:sz="4" w:space="0" w:color="000000"/>
              <w:right w:val="single" w:sz="6" w:space="0" w:color="000000"/>
            </w:tcBorders>
          </w:tcPr>
          <w:p>
            <w:pPr>
              <w:pStyle w:val="Normal"/>
              <w:widowControl w:val="false"/>
              <w:jc w:val="center"/>
              <w:rPr>
                <w:rFonts w:ascii="Arial" w:hAnsi="Arial" w:cs="Arial"/>
                <w:b/>
                <w:b/>
                <w:bCs/>
                <w:lang w:val="en-GB"/>
              </w:rPr>
            </w:pPr>
            <w:r>
              <w:rPr>
                <w:rFonts w:cs="Arial" w:ascii="Arial" w:hAnsi="Arial"/>
                <w:b/>
                <w:bCs/>
                <w:lang w:val="en-GB"/>
              </w:rPr>
              <w:t>2</w:t>
            </w:r>
          </w:p>
        </w:tc>
        <w:tc>
          <w:tcPr>
            <w:tcW w:w="1080" w:type="dxa"/>
            <w:tcBorders>
              <w:top w:val="single" w:sz="6" w:space="0" w:color="000000"/>
              <w:left w:val="single" w:sz="6" w:space="0" w:color="000000"/>
              <w:bottom w:val="double" w:sz="4" w:space="0" w:color="000000"/>
              <w:right w:val="single" w:sz="6" w:space="0" w:color="000000"/>
            </w:tcBorders>
          </w:tcPr>
          <w:p>
            <w:pPr>
              <w:pStyle w:val="Footnote"/>
              <w:widowControl w:val="false"/>
              <w:jc w:val="center"/>
              <w:rPr>
                <w:rFonts w:ascii="Arial" w:hAnsi="Arial" w:cs="Arial"/>
                <w:b/>
                <w:b/>
                <w:bCs/>
                <w:lang w:val="en-GB"/>
              </w:rPr>
            </w:pPr>
            <w:r>
              <w:rPr>
                <w:rFonts w:cs="Arial" w:ascii="Arial" w:hAnsi="Arial"/>
                <w:b/>
                <w:bCs/>
                <w:lang w:val="en-GB"/>
              </w:rPr>
              <w:t>3</w:t>
            </w:r>
          </w:p>
        </w:tc>
        <w:tc>
          <w:tcPr>
            <w:tcW w:w="1080" w:type="dxa"/>
            <w:tcBorders>
              <w:top w:val="single" w:sz="6" w:space="0" w:color="000000"/>
              <w:left w:val="single" w:sz="6" w:space="0" w:color="000000"/>
              <w:bottom w:val="double" w:sz="4" w:space="0" w:color="000000"/>
              <w:right w:val="single" w:sz="6" w:space="0" w:color="000000"/>
            </w:tcBorders>
          </w:tcPr>
          <w:p>
            <w:pPr>
              <w:pStyle w:val="Normal"/>
              <w:widowControl w:val="false"/>
              <w:jc w:val="center"/>
              <w:rPr>
                <w:rFonts w:ascii="Arial" w:hAnsi="Arial" w:cs="Arial"/>
                <w:b/>
                <w:b/>
                <w:bCs/>
                <w:lang w:val="en-GB"/>
              </w:rPr>
            </w:pPr>
            <w:r>
              <w:rPr>
                <w:rFonts w:cs="Arial" w:ascii="Arial" w:hAnsi="Arial"/>
                <w:b/>
                <w:bCs/>
                <w:lang w:val="en-GB"/>
              </w:rPr>
              <w:t>4</w:t>
            </w:r>
          </w:p>
        </w:tc>
        <w:tc>
          <w:tcPr>
            <w:tcW w:w="2250" w:type="dxa"/>
            <w:tcBorders>
              <w:top w:val="single" w:sz="6" w:space="0" w:color="000000"/>
              <w:left w:val="single" w:sz="6" w:space="0" w:color="000000"/>
              <w:bottom w:val="double" w:sz="4" w:space="0" w:color="000000"/>
              <w:right w:val="single" w:sz="6" w:space="0" w:color="000000"/>
            </w:tcBorders>
          </w:tcPr>
          <w:p>
            <w:pPr>
              <w:pStyle w:val="Normal"/>
              <w:widowControl w:val="false"/>
              <w:jc w:val="center"/>
              <w:rPr>
                <w:rFonts w:ascii="Arial" w:hAnsi="Arial" w:cs="Arial"/>
                <w:b/>
                <w:b/>
                <w:bCs/>
                <w:lang w:val="en-GB"/>
              </w:rPr>
            </w:pPr>
            <w:r>
              <w:rPr>
                <w:rFonts w:cs="Arial" w:ascii="Arial" w:hAnsi="Arial"/>
                <w:b/>
                <w:bCs/>
                <w:lang w:val="en-GB"/>
              </w:rPr>
              <w:t>5</w:t>
            </w:r>
          </w:p>
        </w:tc>
        <w:tc>
          <w:tcPr>
            <w:tcW w:w="1169" w:type="dxa"/>
            <w:tcBorders>
              <w:top w:val="single" w:sz="6" w:space="0" w:color="000000"/>
              <w:left w:val="single" w:sz="6" w:space="0" w:color="000000"/>
              <w:bottom w:val="double" w:sz="4" w:space="0" w:color="000000"/>
              <w:right w:val="double" w:sz="4" w:space="0" w:color="000000"/>
            </w:tcBorders>
          </w:tcPr>
          <w:p>
            <w:pPr>
              <w:pStyle w:val="Normal"/>
              <w:widowControl w:val="false"/>
              <w:tabs>
                <w:tab w:val="clear" w:pos="720"/>
                <w:tab w:val="left" w:pos="5387" w:leader="none"/>
              </w:tabs>
              <w:jc w:val="center"/>
              <w:rPr>
                <w:rFonts w:ascii="Arial" w:hAnsi="Arial" w:cs="Arial"/>
                <w:b/>
                <w:b/>
                <w:bCs/>
                <w:lang w:val="en-GB"/>
              </w:rPr>
            </w:pPr>
            <w:r>
              <w:rPr>
                <w:rFonts w:cs="Arial" w:ascii="Arial" w:hAnsi="Arial"/>
                <w:b/>
                <w:bCs/>
                <w:lang w:val="en-GB"/>
              </w:rPr>
              <w:t>6</w:t>
            </w:r>
          </w:p>
        </w:tc>
      </w:tr>
      <w:tr>
        <w:trPr>
          <w:trHeight w:val="285" w:hRule="atLeast"/>
          <w:cantSplit w:val="true"/>
        </w:trPr>
        <w:tc>
          <w:tcPr>
            <w:tcW w:w="718" w:type="dxa"/>
            <w:tcBorders>
              <w:top w:val="single" w:sz="6" w:space="0" w:color="000000"/>
              <w:left w:val="double" w:sz="4" w:space="0" w:color="000000"/>
              <w:bottom w:val="double" w:sz="4" w:space="0" w:color="000000"/>
              <w:right w:val="single" w:sz="6" w:space="0" w:color="000000"/>
            </w:tcBorders>
          </w:tcPr>
          <w:p>
            <w:pPr>
              <w:pStyle w:val="Normal"/>
              <w:widowControl w:val="false"/>
              <w:jc w:val="center"/>
              <w:rPr>
                <w:rFonts w:ascii="Arial" w:hAnsi="Arial" w:cs="Arial"/>
                <w:b/>
                <w:b/>
                <w:bCs/>
                <w:lang w:val="en-GB"/>
              </w:rPr>
            </w:pPr>
            <w:r>
              <w:rPr>
                <w:rFonts w:cs="Arial" w:ascii="Arial" w:hAnsi="Arial"/>
                <w:b/>
                <w:bCs/>
                <w:lang w:val="en-GB"/>
              </w:rPr>
            </w:r>
          </w:p>
        </w:tc>
        <w:tc>
          <w:tcPr>
            <w:tcW w:w="7472" w:type="dxa"/>
            <w:gridSpan w:val="4"/>
            <w:tcBorders>
              <w:top w:val="single" w:sz="6" w:space="0" w:color="000000"/>
              <w:left w:val="single" w:sz="6" w:space="0" w:color="000000"/>
              <w:bottom w:val="double" w:sz="4" w:space="0" w:color="000000"/>
              <w:right w:val="double" w:sz="4" w:space="0" w:color="000000"/>
            </w:tcBorders>
          </w:tcPr>
          <w:p>
            <w:pPr>
              <w:pStyle w:val="Normal"/>
              <w:widowControl w:val="false"/>
              <w:spacing w:before="120" w:after="0"/>
              <w:rPr>
                <w:rFonts w:ascii="Arial" w:hAnsi="Arial" w:cs="Arial"/>
                <w:lang w:val="en-GB"/>
              </w:rPr>
            </w:pPr>
            <w:r>
              <w:rPr>
                <w:rFonts w:cs="Arial" w:ascii="Arial" w:hAnsi="Arial"/>
                <w:lang w:val="en-GB"/>
              </w:rPr>
              <w:t>Procuring Entity’s Option for delivery terms is:</w:t>
            </w:r>
          </w:p>
        </w:tc>
        <w:tc>
          <w:tcPr>
            <w:tcW w:w="1169" w:type="dxa"/>
            <w:tcBorders>
              <w:top w:val="double" w:sz="4" w:space="0" w:color="000000"/>
              <w:left w:val="double" w:sz="4" w:space="0" w:color="000000"/>
              <w:bottom w:val="double" w:sz="4" w:space="0" w:color="000000"/>
              <w:right w:val="double" w:sz="4" w:space="0" w:color="000000"/>
            </w:tcBorders>
          </w:tcPr>
          <w:p>
            <w:pPr>
              <w:pStyle w:val="Normal"/>
              <w:widowControl w:val="false"/>
              <w:spacing w:before="120" w:after="0"/>
              <w:jc w:val="center"/>
              <w:rPr>
                <w:rFonts w:ascii="Arial" w:hAnsi="Arial" w:cs="Arial"/>
                <w:i/>
                <w:i/>
                <w:iCs/>
                <w:lang w:val="en-GB"/>
              </w:rPr>
            </w:pPr>
            <w:r>
              <w:rPr>
                <w:rFonts w:cs="Arial" w:ascii="Arial" w:hAnsi="Arial"/>
                <w:i/>
                <w:iCs/>
                <w:lang w:val="en-GB"/>
              </w:rPr>
              <w:t>[note 1]</w:t>
            </w:r>
          </w:p>
          <w:p>
            <w:pPr>
              <w:pStyle w:val="Normal"/>
              <w:widowControl w:val="false"/>
              <w:suppressAutoHyphens w:val="true"/>
              <w:snapToGrid w:val="false"/>
              <w:jc w:val="center"/>
              <w:rPr>
                <w:rFonts w:ascii="Arial" w:hAnsi="Arial" w:cs="Arial"/>
                <w:b/>
                <w:b/>
                <w:sz w:val="16"/>
                <w:szCs w:val="16"/>
                <w:lang w:val="en-GB"/>
              </w:rPr>
            </w:pPr>
            <w:r>
              <w:rPr>
                <w:rFonts w:cs="Arial" w:ascii="Arial" w:hAnsi="Arial"/>
                <w:b/>
                <w:sz w:val="16"/>
                <w:szCs w:val="16"/>
                <w:lang w:val="en-GB"/>
              </w:rPr>
            </w:r>
          </w:p>
        </w:tc>
      </w:tr>
      <w:tr>
        <w:trPr>
          <w:trHeight w:val="593" w:hRule="atLeast"/>
          <w:cantSplit w:val="true"/>
        </w:trPr>
        <w:tc>
          <w:tcPr>
            <w:tcW w:w="9359" w:type="dxa"/>
            <w:gridSpan w:val="6"/>
            <w:tcBorders>
              <w:top w:val="double" w:sz="4" w:space="0" w:color="000000"/>
              <w:left w:val="double" w:sz="4" w:space="0" w:color="000000"/>
              <w:bottom w:val="single" w:sz="6" w:space="0" w:color="000000"/>
              <w:right w:val="double" w:sz="4" w:space="0" w:color="000000"/>
            </w:tcBorders>
          </w:tcPr>
          <w:p>
            <w:pPr>
              <w:pStyle w:val="Normal"/>
              <w:widowControl w:val="false"/>
              <w:suppressAutoHyphens w:val="true"/>
              <w:snapToGrid w:val="false"/>
              <w:rPr>
                <w:b/>
                <w:b/>
                <w:sz w:val="22"/>
                <w:szCs w:val="32"/>
                <w:lang w:val="en-GB"/>
              </w:rPr>
            </w:pPr>
            <w:r>
              <w:rPr>
                <w:rFonts w:cs="Arial" w:ascii="Arial" w:hAnsi="Arial"/>
                <w:b/>
                <w:bCs/>
                <w:lang w:val="en-GB"/>
              </w:rPr>
              <w:t xml:space="preserve">Lot No 1: </w:t>
            </w:r>
            <w:r>
              <w:rPr>
                <w:rFonts w:cs="Arial" w:ascii="Arial" w:hAnsi="Arial"/>
                <w:b/>
                <w:sz w:val="22"/>
                <w:szCs w:val="32"/>
                <w:lang w:val="en-GB"/>
              </w:rPr>
              <w:t xml:space="preserve">PVC/PET ID card printer with laminator &amp; Encoder, Registered lamination film (Hologram Patch Roll), </w:t>
            </w:r>
            <w:r>
              <w:rPr>
                <w:b/>
                <w:sz w:val="22"/>
                <w:szCs w:val="32"/>
                <w:lang w:val="en-GB"/>
              </w:rPr>
              <w:t>Color Ribbon (Original), Cleaning Kit</w:t>
            </w:r>
          </w:p>
        </w:tc>
      </w:tr>
      <w:tr>
        <w:trPr>
          <w:trHeight w:val="593" w:hRule="atLeast"/>
          <w:cantSplit w:val="true"/>
        </w:trPr>
        <w:tc>
          <w:tcPr>
            <w:tcW w:w="718" w:type="dxa"/>
            <w:tcBorders>
              <w:top w:val="single" w:sz="6" w:space="0" w:color="000000"/>
              <w:left w:val="double" w:sz="4" w:space="0" w:color="000000"/>
              <w:bottom w:val="single" w:sz="6" w:space="0" w:color="000000"/>
              <w:right w:val="single" w:sz="6" w:space="0" w:color="000000"/>
            </w:tcBorders>
            <w:vAlign w:val="center"/>
          </w:tcPr>
          <w:p>
            <w:pPr>
              <w:pStyle w:val="Normal"/>
              <w:widowControl w:val="false"/>
              <w:spacing w:before="120" w:after="0"/>
              <w:jc w:val="center"/>
              <w:rPr>
                <w:rFonts w:ascii="Arial" w:hAnsi="Arial" w:cs="Arial"/>
                <w:lang w:val="en-GB"/>
              </w:rPr>
            </w:pPr>
            <w:r>
              <w:rPr>
                <w:rFonts w:cs="Arial" w:ascii="Arial" w:hAnsi="Arial"/>
                <w:lang w:val="en-GB"/>
              </w:rPr>
              <w:t>01</w:t>
            </w:r>
          </w:p>
        </w:tc>
        <w:tc>
          <w:tcPr>
            <w:tcW w:w="3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rPr>
                <w:sz w:val="22"/>
                <w:szCs w:val="22"/>
                <w:lang w:val="en-GB"/>
              </w:rPr>
            </w:pPr>
            <w:r>
              <w:rPr>
                <w:sz w:val="22"/>
                <w:szCs w:val="22"/>
                <w:lang w:val="en-GB"/>
              </w:rPr>
              <w:t>PVC/PET ID CARD Printer with Laminator &amp; Encoder</w:t>
            </w:r>
          </w:p>
          <w:p>
            <w:pPr>
              <w:pStyle w:val="Normal"/>
              <w:widowControl w:val="false"/>
              <w:suppressAutoHyphens w:val="true"/>
              <w:snapToGrid w:val="false"/>
              <w:rPr>
                <w:rFonts w:ascii="Arial" w:hAnsi="Arial" w:cs="Arial"/>
                <w:sz w:val="4"/>
                <w:szCs w:val="16"/>
                <w:lang w:val="en-GB"/>
              </w:rPr>
            </w:pPr>
            <w:r>
              <w:rPr>
                <w:rFonts w:cs="Arial" w:ascii="Arial" w:hAnsi="Arial"/>
                <w:sz w:val="4"/>
                <w:szCs w:val="16"/>
                <w:lang w:val="en-GB"/>
              </w:rPr>
            </w:r>
          </w:p>
          <w:p>
            <w:pPr>
              <w:pStyle w:val="Normal"/>
              <w:widowControl w:val="false"/>
              <w:suppressAutoHyphens w:val="true"/>
              <w:snapToGrid w:val="false"/>
              <w:rPr>
                <w:rFonts w:ascii="Arial" w:hAnsi="Arial" w:cs="Arial"/>
                <w:sz w:val="16"/>
                <w:szCs w:val="16"/>
                <w:lang w:val="en-GB"/>
              </w:rPr>
            </w:pPr>
            <w:r>
              <w:rPr>
                <w:rFonts w:cs="Arial" w:ascii="Arial" w:hAnsi="Arial"/>
                <w:sz w:val="8"/>
                <w:szCs w:val="16"/>
                <w:lang w:val="en-GB"/>
              </w:rPr>
              <w:t>.</w:t>
            </w:r>
          </w:p>
        </w:tc>
        <w:tc>
          <w:tcPr>
            <w:tcW w:w="1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0"/>
              <w:jc w:val="center"/>
              <w:rPr>
                <w:rFonts w:ascii="Arial" w:hAnsi="Arial" w:cs="Arial"/>
                <w:lang w:val="en-GB"/>
              </w:rPr>
            </w:pPr>
            <w:r>
              <w:rPr>
                <w:rFonts w:cs="Arial" w:ascii="Arial" w:hAnsi="Arial"/>
                <w:sz w:val="22"/>
                <w:szCs w:val="22"/>
                <w:lang w:val="en-GB"/>
              </w:rPr>
              <w:t>pcs</w:t>
            </w:r>
          </w:p>
        </w:tc>
        <w:tc>
          <w:tcPr>
            <w:tcW w:w="1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0"/>
              <w:jc w:val="center"/>
              <w:rPr>
                <w:rFonts w:ascii="Arial" w:hAnsi="Arial" w:cs="Arial"/>
                <w:lang w:val="en-GB"/>
              </w:rPr>
            </w:pPr>
            <w:r>
              <w:rPr>
                <w:rFonts w:cs="Arial" w:ascii="Arial" w:hAnsi="Arial"/>
                <w:sz w:val="22"/>
                <w:szCs w:val="22"/>
                <w:lang w:val="en-GB"/>
              </w:rPr>
              <w:t>2 pcs</w:t>
            </w:r>
          </w:p>
        </w:tc>
        <w:tc>
          <w:tcPr>
            <w:tcW w:w="225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0"/>
              <w:jc w:val="center"/>
              <w:rPr>
                <w:rFonts w:ascii="Arial" w:hAnsi="Arial" w:cs="Arial"/>
                <w:lang w:val="en-GB"/>
              </w:rPr>
            </w:pPr>
            <w:r>
              <w:rPr>
                <w:rFonts w:cs="Arial" w:ascii="Arial" w:hAnsi="Arial"/>
                <w:b/>
                <w:sz w:val="16"/>
                <w:szCs w:val="16"/>
                <w:lang w:val="en-GB"/>
              </w:rPr>
              <w:t>Convener, Online Admission Committee, Central Admission Office, Room-214, Administrative Building, University of Dhaka</w:t>
            </w:r>
          </w:p>
        </w:tc>
        <w:tc>
          <w:tcPr>
            <w:tcW w:w="1169" w:type="dxa"/>
            <w:vMerge w:val="restart"/>
            <w:tcBorders>
              <w:top w:val="single" w:sz="6" w:space="0" w:color="000000"/>
              <w:left w:val="single" w:sz="6" w:space="0" w:color="000000"/>
              <w:bottom w:val="single" w:sz="6" w:space="0" w:color="000000"/>
              <w:right w:val="double" w:sz="4" w:space="0" w:color="000000"/>
            </w:tcBorders>
            <w:vAlign w:val="center"/>
          </w:tcPr>
          <w:p>
            <w:pPr>
              <w:pStyle w:val="Normal"/>
              <w:widowControl w:val="false"/>
              <w:spacing w:before="120" w:after="0"/>
              <w:jc w:val="center"/>
              <w:rPr>
                <w:rFonts w:ascii="Arial" w:hAnsi="Arial" w:cs="Arial"/>
                <w:lang w:val="en-GB"/>
              </w:rPr>
            </w:pPr>
            <w:r>
              <w:rPr>
                <w:rFonts w:cs="Arial" w:ascii="Arial" w:hAnsi="Arial"/>
                <w:b/>
                <w:sz w:val="16"/>
                <w:szCs w:val="16"/>
                <w:lang w:val="en-GB"/>
              </w:rPr>
              <w:t>6</w:t>
            </w:r>
            <w:r>
              <w:rPr>
                <w:rFonts w:cs="Arial" w:ascii="Arial" w:hAnsi="Arial"/>
                <w:b/>
                <w:sz w:val="16"/>
                <w:szCs w:val="16"/>
                <w:lang w:val="en-GB"/>
              </w:rPr>
              <w:t xml:space="preserve"> week</w:t>
            </w:r>
            <w:r>
              <w:rPr>
                <w:rFonts w:cs="Arial" w:ascii="Arial" w:hAnsi="Arial"/>
                <w:b/>
                <w:sz w:val="16"/>
                <w:szCs w:val="16"/>
                <w:lang w:val="en-GB"/>
              </w:rPr>
              <w:t>s</w:t>
            </w:r>
            <w:r>
              <w:rPr>
                <w:rFonts w:cs="Arial" w:ascii="Arial" w:hAnsi="Arial"/>
                <w:b/>
                <w:sz w:val="16"/>
                <w:szCs w:val="16"/>
                <w:lang w:val="en-GB"/>
              </w:rPr>
              <w:t xml:space="preserve"> from the date of contract signing</w:t>
            </w:r>
          </w:p>
        </w:tc>
      </w:tr>
      <w:tr>
        <w:trPr>
          <w:trHeight w:val="573" w:hRule="atLeast"/>
          <w:cantSplit w:val="true"/>
        </w:trPr>
        <w:tc>
          <w:tcPr>
            <w:tcW w:w="718" w:type="dxa"/>
            <w:tcBorders>
              <w:top w:val="single" w:sz="6" w:space="0" w:color="000000"/>
              <w:left w:val="double" w:sz="4" w:space="0" w:color="000000"/>
              <w:bottom w:val="single" w:sz="6" w:space="0" w:color="000000"/>
              <w:right w:val="single" w:sz="6" w:space="0" w:color="000000"/>
            </w:tcBorders>
            <w:vAlign w:val="center"/>
          </w:tcPr>
          <w:p>
            <w:pPr>
              <w:pStyle w:val="Normal"/>
              <w:widowControl w:val="false"/>
              <w:spacing w:before="120" w:after="0"/>
              <w:jc w:val="center"/>
              <w:rPr>
                <w:rFonts w:ascii="Arial" w:hAnsi="Arial" w:cs="Arial"/>
                <w:lang w:val="en-GB"/>
              </w:rPr>
            </w:pPr>
            <w:r>
              <w:rPr>
                <w:rFonts w:cs="Arial" w:ascii="Arial" w:hAnsi="Arial"/>
                <w:lang w:val="en-GB"/>
              </w:rPr>
              <w:t>02</w:t>
            </w:r>
          </w:p>
        </w:tc>
        <w:tc>
          <w:tcPr>
            <w:tcW w:w="3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rPr>
                <w:sz w:val="22"/>
                <w:szCs w:val="20"/>
                <w:lang w:bidi="he-IL"/>
              </w:rPr>
            </w:pPr>
            <w:r>
              <w:rPr>
                <w:sz w:val="22"/>
                <w:szCs w:val="20"/>
                <w:lang w:bidi="he-IL"/>
              </w:rPr>
              <w:t>Registerd Lamination Film of DU</w:t>
            </w:r>
          </w:p>
        </w:tc>
        <w:tc>
          <w:tcPr>
            <w:tcW w:w="1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0"/>
              <w:jc w:val="center"/>
              <w:rPr>
                <w:rFonts w:ascii="Arial" w:hAnsi="Arial" w:cs="Arial"/>
                <w:lang w:val="en-GB"/>
              </w:rPr>
            </w:pPr>
            <w:r>
              <w:rPr>
                <w:rFonts w:cs="Arial" w:ascii="Arial" w:hAnsi="Arial"/>
                <w:sz w:val="22"/>
                <w:szCs w:val="22"/>
                <w:lang w:val="en-GB"/>
              </w:rPr>
              <w:t>pcs</w:t>
            </w:r>
          </w:p>
        </w:tc>
        <w:tc>
          <w:tcPr>
            <w:tcW w:w="1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jc w:val="center"/>
              <w:rPr>
                <w:sz w:val="14"/>
                <w:szCs w:val="20"/>
                <w:lang w:bidi="he-IL"/>
              </w:rPr>
            </w:pPr>
            <w:r>
              <w:rPr>
                <w:sz w:val="14"/>
                <w:szCs w:val="20"/>
                <w:lang w:bidi="he-IL"/>
              </w:rPr>
            </w:r>
          </w:p>
          <w:p>
            <w:pPr>
              <w:pStyle w:val="Normal"/>
              <w:widowControl w:val="false"/>
              <w:suppressAutoHyphens w:val="true"/>
              <w:jc w:val="center"/>
              <w:rPr>
                <w:rFonts w:ascii="Arial" w:hAnsi="Arial" w:cs="Arial"/>
                <w:sz w:val="16"/>
                <w:szCs w:val="16"/>
                <w:lang w:val="en-GB"/>
              </w:rPr>
            </w:pPr>
            <w:r>
              <w:rPr>
                <w:rFonts w:cs="Arial" w:ascii="Arial" w:hAnsi="Arial"/>
                <w:sz w:val="22"/>
                <w:szCs w:val="22"/>
                <w:lang w:val="en-GB"/>
              </w:rPr>
              <w:t>35 pcs</w:t>
            </w:r>
          </w:p>
        </w:tc>
        <w:tc>
          <w:tcPr>
            <w:tcW w:w="2250"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0"/>
              <w:jc w:val="center"/>
              <w:rPr>
                <w:rFonts w:ascii="Arial" w:hAnsi="Arial" w:cs="Arial"/>
                <w:lang w:val="en-GB"/>
              </w:rPr>
            </w:pPr>
            <w:r>
              <w:rPr>
                <w:rFonts w:cs="Arial" w:ascii="Arial" w:hAnsi="Arial"/>
                <w:lang w:val="en-GB"/>
              </w:rPr>
            </w:r>
          </w:p>
        </w:tc>
        <w:tc>
          <w:tcPr>
            <w:tcW w:w="1169" w:type="dxa"/>
            <w:vMerge w:val="continue"/>
            <w:tcBorders>
              <w:top w:val="single" w:sz="6" w:space="0" w:color="000000"/>
              <w:left w:val="single" w:sz="6" w:space="0" w:color="000000"/>
              <w:bottom w:val="single" w:sz="6" w:space="0" w:color="000000"/>
              <w:right w:val="double" w:sz="4" w:space="0" w:color="000000"/>
            </w:tcBorders>
            <w:vAlign w:val="center"/>
          </w:tcPr>
          <w:p>
            <w:pPr>
              <w:pStyle w:val="Normal"/>
              <w:widowControl w:val="false"/>
              <w:spacing w:before="120" w:after="0"/>
              <w:jc w:val="center"/>
              <w:rPr>
                <w:rFonts w:ascii="Arial" w:hAnsi="Arial" w:cs="Arial"/>
                <w:lang w:val="en-GB"/>
              </w:rPr>
            </w:pPr>
            <w:r>
              <w:rPr>
                <w:rFonts w:cs="Arial" w:ascii="Arial" w:hAnsi="Arial"/>
                <w:lang w:val="en-GB"/>
              </w:rPr>
            </w:r>
          </w:p>
        </w:tc>
      </w:tr>
      <w:tr>
        <w:trPr>
          <w:trHeight w:val="593" w:hRule="atLeast"/>
          <w:cantSplit w:val="true"/>
        </w:trPr>
        <w:tc>
          <w:tcPr>
            <w:tcW w:w="718" w:type="dxa"/>
            <w:tcBorders>
              <w:top w:val="single" w:sz="6" w:space="0" w:color="000000"/>
              <w:left w:val="double" w:sz="4" w:space="0" w:color="000000"/>
              <w:bottom w:val="single" w:sz="6" w:space="0" w:color="000000"/>
              <w:right w:val="single" w:sz="6" w:space="0" w:color="000000"/>
            </w:tcBorders>
            <w:vAlign w:val="center"/>
          </w:tcPr>
          <w:p>
            <w:pPr>
              <w:pStyle w:val="Normal"/>
              <w:widowControl w:val="false"/>
              <w:spacing w:before="120" w:after="0"/>
              <w:jc w:val="center"/>
              <w:rPr>
                <w:rFonts w:ascii="Arial" w:hAnsi="Arial" w:cs="Arial"/>
                <w:lang w:val="en-GB"/>
              </w:rPr>
            </w:pPr>
            <w:r>
              <w:rPr>
                <w:rFonts w:cs="Arial" w:ascii="Arial" w:hAnsi="Arial"/>
                <w:lang w:val="en-GB"/>
              </w:rPr>
              <w:t>03</w:t>
            </w:r>
          </w:p>
        </w:tc>
        <w:tc>
          <w:tcPr>
            <w:tcW w:w="3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rPr>
                <w:b/>
                <w:b/>
                <w:sz w:val="22"/>
                <w:szCs w:val="32"/>
                <w:lang w:val="en-GB"/>
              </w:rPr>
            </w:pPr>
            <w:r>
              <w:rPr>
                <w:b/>
                <w:sz w:val="22"/>
                <w:szCs w:val="32"/>
                <w:lang w:val="en-GB"/>
              </w:rPr>
              <w:t>Color Ribbon (Original)</w:t>
            </w:r>
          </w:p>
          <w:p>
            <w:pPr>
              <w:pStyle w:val="Normal"/>
              <w:widowControl w:val="false"/>
              <w:suppressAutoHyphens w:val="true"/>
              <w:snapToGrid w:val="false"/>
              <w:rPr>
                <w:sz w:val="22"/>
                <w:szCs w:val="22"/>
                <w:lang w:val="en-GB"/>
              </w:rPr>
            </w:pPr>
            <w:r>
              <w:rPr>
                <w:sz w:val="22"/>
                <w:szCs w:val="22"/>
                <w:lang w:val="en-GB"/>
              </w:rPr>
              <w:t>YMCKO Color Ribbon 150 prints/ Both side color print</w:t>
            </w:r>
          </w:p>
        </w:tc>
        <w:tc>
          <w:tcPr>
            <w:tcW w:w="1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0"/>
              <w:jc w:val="center"/>
              <w:rPr>
                <w:rFonts w:ascii="Arial" w:hAnsi="Arial" w:cs="Arial"/>
                <w:lang w:val="en-GB"/>
              </w:rPr>
            </w:pPr>
            <w:r>
              <w:rPr>
                <w:rFonts w:cs="Arial" w:ascii="Arial" w:hAnsi="Arial"/>
                <w:sz w:val="22"/>
                <w:szCs w:val="22"/>
                <w:lang w:val="en-GB"/>
              </w:rPr>
              <w:t>pcs</w:t>
            </w:r>
          </w:p>
        </w:tc>
        <w:tc>
          <w:tcPr>
            <w:tcW w:w="1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napToGrid w:val="false"/>
              <w:jc w:val="center"/>
              <w:rPr>
                <w:sz w:val="14"/>
                <w:szCs w:val="20"/>
                <w:lang w:bidi="he-IL"/>
              </w:rPr>
            </w:pPr>
            <w:r>
              <w:rPr>
                <w:sz w:val="14"/>
                <w:szCs w:val="20"/>
                <w:lang w:bidi="he-IL"/>
              </w:rPr>
            </w:r>
          </w:p>
          <w:p>
            <w:pPr>
              <w:pStyle w:val="Normal"/>
              <w:widowControl w:val="false"/>
              <w:suppressAutoHyphens w:val="true"/>
              <w:jc w:val="center"/>
              <w:rPr>
                <w:rFonts w:ascii="Arial" w:hAnsi="Arial" w:cs="Arial"/>
                <w:sz w:val="16"/>
                <w:szCs w:val="16"/>
                <w:lang w:val="en-GB"/>
              </w:rPr>
            </w:pPr>
            <w:r>
              <w:rPr>
                <w:rFonts w:cs="Arial" w:ascii="Arial" w:hAnsi="Arial"/>
                <w:sz w:val="22"/>
                <w:szCs w:val="22"/>
                <w:lang w:val="en-GB"/>
              </w:rPr>
              <w:t>140 pcs</w:t>
            </w:r>
          </w:p>
        </w:tc>
        <w:tc>
          <w:tcPr>
            <w:tcW w:w="225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jc w:val="center"/>
              <w:rPr>
                <w:rFonts w:ascii="Arial" w:hAnsi="Arial" w:cs="Arial"/>
                <w:lang w:val="en-GB"/>
              </w:rPr>
            </w:pPr>
            <w:r>
              <w:rPr>
                <w:rFonts w:cs="Arial" w:ascii="Arial" w:hAnsi="Arial"/>
                <w:b/>
                <w:sz w:val="16"/>
                <w:szCs w:val="16"/>
                <w:lang w:val="en-GB"/>
              </w:rPr>
              <w:t>Convener, Online Admission Committee, Central Admission Office, Room-214, Administrative Building, University of Dhaka</w:t>
            </w:r>
          </w:p>
        </w:tc>
        <w:tc>
          <w:tcPr>
            <w:tcW w:w="1169" w:type="dxa"/>
            <w:vMerge w:val="restart"/>
            <w:tcBorders>
              <w:top w:val="single" w:sz="6" w:space="0" w:color="000000"/>
              <w:left w:val="single" w:sz="6" w:space="0" w:color="000000"/>
              <w:bottom w:val="single" w:sz="6" w:space="0" w:color="000000"/>
              <w:right w:val="double" w:sz="4" w:space="0" w:color="000000"/>
            </w:tcBorders>
            <w:vAlign w:val="center"/>
          </w:tcPr>
          <w:p>
            <w:pPr>
              <w:pStyle w:val="Normal"/>
              <w:widowControl w:val="false"/>
              <w:spacing w:before="120" w:after="0"/>
              <w:jc w:val="center"/>
              <w:rPr>
                <w:rFonts w:ascii="Arial" w:hAnsi="Arial" w:cs="Arial"/>
                <w:lang w:val="en-GB"/>
              </w:rPr>
            </w:pPr>
            <w:r>
              <w:rPr>
                <w:rFonts w:cs="Arial" w:ascii="Arial" w:hAnsi="Arial"/>
                <w:b/>
                <w:sz w:val="16"/>
                <w:szCs w:val="16"/>
                <w:lang w:val="en-GB"/>
              </w:rPr>
              <w:t>6</w:t>
            </w:r>
            <w:r>
              <w:rPr>
                <w:rFonts w:cs="Arial" w:ascii="Arial" w:hAnsi="Arial"/>
                <w:b/>
                <w:sz w:val="16"/>
                <w:szCs w:val="16"/>
                <w:lang w:val="en-GB"/>
              </w:rPr>
              <w:t xml:space="preserve"> week</w:t>
            </w:r>
            <w:r>
              <w:rPr>
                <w:rFonts w:cs="Arial" w:ascii="Arial" w:hAnsi="Arial"/>
                <w:b/>
                <w:sz w:val="16"/>
                <w:szCs w:val="16"/>
                <w:lang w:val="en-GB"/>
              </w:rPr>
              <w:t>s</w:t>
            </w:r>
            <w:r>
              <w:rPr>
                <w:rFonts w:cs="Arial" w:ascii="Arial" w:hAnsi="Arial"/>
                <w:b/>
                <w:sz w:val="16"/>
                <w:szCs w:val="16"/>
                <w:lang w:val="en-GB"/>
              </w:rPr>
              <w:t xml:space="preserve"> from the date of contract signing</w:t>
            </w:r>
          </w:p>
        </w:tc>
      </w:tr>
      <w:tr>
        <w:trPr>
          <w:trHeight w:val="593" w:hRule="atLeast"/>
          <w:cantSplit w:val="true"/>
        </w:trPr>
        <w:tc>
          <w:tcPr>
            <w:tcW w:w="718" w:type="dxa"/>
            <w:tcBorders>
              <w:top w:val="single" w:sz="6" w:space="0" w:color="000000"/>
              <w:left w:val="double" w:sz="4" w:space="0" w:color="000000"/>
              <w:bottom w:val="single" w:sz="6" w:space="0" w:color="000000"/>
              <w:right w:val="single" w:sz="6" w:space="0" w:color="000000"/>
            </w:tcBorders>
          </w:tcPr>
          <w:p>
            <w:pPr>
              <w:pStyle w:val="Normal"/>
              <w:widowControl w:val="false"/>
              <w:spacing w:before="120" w:after="0"/>
              <w:jc w:val="center"/>
              <w:rPr>
                <w:rFonts w:ascii="Arial" w:hAnsi="Arial" w:cs="Arial"/>
                <w:lang w:val="en-GB"/>
              </w:rPr>
            </w:pPr>
            <w:r>
              <w:rPr>
                <w:rFonts w:cs="Arial" w:ascii="Arial" w:hAnsi="Arial"/>
                <w:lang w:val="en-GB"/>
              </w:rPr>
              <w:t>04</w:t>
            </w:r>
          </w:p>
        </w:tc>
        <w:tc>
          <w:tcPr>
            <w:tcW w:w="3062" w:type="dxa"/>
            <w:tcBorders>
              <w:top w:val="single" w:sz="6" w:space="0" w:color="000000"/>
              <w:left w:val="single" w:sz="6" w:space="0" w:color="000000"/>
              <w:bottom w:val="single" w:sz="6" w:space="0" w:color="000000"/>
              <w:right w:val="single" w:sz="6" w:space="0" w:color="000000"/>
            </w:tcBorders>
            <w:vAlign w:val="bottom"/>
          </w:tcPr>
          <w:p>
            <w:pPr>
              <w:pStyle w:val="Normal"/>
              <w:widowControl w:val="false"/>
              <w:suppressAutoHyphens w:val="true"/>
              <w:snapToGrid w:val="false"/>
              <w:spacing w:before="0" w:after="120"/>
              <w:rPr>
                <w:b/>
                <w:b/>
                <w:sz w:val="22"/>
                <w:szCs w:val="32"/>
                <w:lang w:val="en-GB"/>
              </w:rPr>
            </w:pPr>
            <w:r>
              <w:rPr>
                <w:b/>
                <w:sz w:val="22"/>
                <w:szCs w:val="32"/>
                <w:lang w:val="en-GB"/>
              </w:rPr>
              <w:t>Cleaning Kit</w:t>
            </w:r>
            <w:r>
              <w:rPr>
                <w:rFonts w:cs="Arial" w:ascii="Arial" w:hAnsi="Arial"/>
                <w:i/>
                <w:iCs/>
                <w:sz w:val="8"/>
                <w:szCs w:val="16"/>
                <w:lang w:val="en-GB"/>
              </w:rPr>
              <w:t>.</w:t>
            </w:r>
          </w:p>
        </w:tc>
        <w:tc>
          <w:tcPr>
            <w:tcW w:w="1080"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0"/>
              <w:jc w:val="center"/>
              <w:rPr>
                <w:rFonts w:ascii="Arial" w:hAnsi="Arial" w:cs="Arial"/>
                <w:lang w:val="en-GB"/>
              </w:rPr>
            </w:pPr>
            <w:r>
              <w:rPr>
                <w:rFonts w:cs="Arial" w:ascii="Arial" w:hAnsi="Arial"/>
                <w:sz w:val="22"/>
                <w:szCs w:val="22"/>
                <w:lang w:val="en-GB"/>
              </w:rPr>
              <w:t>set</w:t>
            </w:r>
          </w:p>
        </w:tc>
        <w:tc>
          <w:tcPr>
            <w:tcW w:w="108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jc w:val="center"/>
              <w:rPr>
                <w:rFonts w:ascii="Arial" w:hAnsi="Arial" w:cs="Arial"/>
                <w:sz w:val="16"/>
                <w:szCs w:val="16"/>
                <w:lang w:val="en-GB"/>
              </w:rPr>
            </w:pPr>
            <w:r>
              <w:rPr>
                <w:rFonts w:cs="Arial" w:ascii="Arial" w:hAnsi="Arial"/>
                <w:sz w:val="22"/>
                <w:szCs w:val="22"/>
                <w:lang w:val="en-GB"/>
              </w:rPr>
              <w:t>3</w:t>
            </w:r>
            <w:r>
              <w:rPr>
                <w:rFonts w:cs="Arial" w:ascii="Arial" w:hAnsi="Arial"/>
                <w:sz w:val="22"/>
                <w:szCs w:val="22"/>
                <w:lang w:val="en-GB"/>
              </w:rPr>
              <w:t xml:space="preserve"> </w:t>
            </w:r>
            <w:r>
              <w:rPr>
                <w:rFonts w:cs="Arial" w:ascii="Arial" w:hAnsi="Arial"/>
                <w:sz w:val="22"/>
                <w:szCs w:val="22"/>
                <w:lang w:val="en-GB"/>
              </w:rPr>
              <w:t>sets</w:t>
            </w:r>
          </w:p>
        </w:tc>
        <w:tc>
          <w:tcPr>
            <w:tcW w:w="2250"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0"/>
              <w:jc w:val="center"/>
              <w:rPr>
                <w:rFonts w:ascii="Arial" w:hAnsi="Arial" w:cs="Arial"/>
                <w:lang w:val="en-GB"/>
              </w:rPr>
            </w:pPr>
            <w:r>
              <w:rPr>
                <w:rFonts w:cs="Arial" w:ascii="Arial" w:hAnsi="Arial"/>
                <w:lang w:val="en-GB"/>
              </w:rPr>
            </w:r>
          </w:p>
        </w:tc>
        <w:tc>
          <w:tcPr>
            <w:tcW w:w="1169" w:type="dxa"/>
            <w:vMerge w:val="continue"/>
            <w:tcBorders>
              <w:top w:val="single" w:sz="6" w:space="0" w:color="000000"/>
              <w:left w:val="single" w:sz="6" w:space="0" w:color="000000"/>
              <w:bottom w:val="single" w:sz="6" w:space="0" w:color="000000"/>
              <w:right w:val="double" w:sz="4" w:space="0" w:color="000000"/>
            </w:tcBorders>
          </w:tcPr>
          <w:p>
            <w:pPr>
              <w:pStyle w:val="Normal"/>
              <w:widowControl w:val="false"/>
              <w:spacing w:before="120" w:after="0"/>
              <w:jc w:val="center"/>
              <w:rPr>
                <w:rFonts w:ascii="Arial" w:hAnsi="Arial" w:cs="Arial"/>
                <w:lang w:val="en-GB"/>
              </w:rPr>
            </w:pPr>
            <w:r>
              <w:rPr>
                <w:rFonts w:cs="Arial" w:ascii="Arial" w:hAnsi="Arial"/>
                <w:lang w:val="en-GB"/>
              </w:rPr>
            </w:r>
          </w:p>
        </w:tc>
      </w:tr>
      <w:tr>
        <w:trPr>
          <w:trHeight w:val="593" w:hRule="atLeast"/>
          <w:cantSplit w:val="true"/>
        </w:trPr>
        <w:tc>
          <w:tcPr>
            <w:tcW w:w="9359" w:type="dxa"/>
            <w:gridSpan w:val="6"/>
            <w:tcBorders>
              <w:top w:val="single" w:sz="6" w:space="0" w:color="000000"/>
              <w:left w:val="double" w:sz="4" w:space="0" w:color="000000"/>
              <w:bottom w:val="single" w:sz="6" w:space="0" w:color="000000"/>
              <w:right w:val="double" w:sz="4" w:space="0" w:color="000000"/>
            </w:tcBorders>
          </w:tcPr>
          <w:p>
            <w:pPr>
              <w:pStyle w:val="Normal"/>
              <w:widowControl w:val="false"/>
              <w:spacing w:before="120" w:after="0"/>
              <w:rPr>
                <w:rFonts w:ascii="Arial" w:hAnsi="Arial" w:cs="Arial"/>
                <w:lang w:val="en-GB"/>
              </w:rPr>
            </w:pPr>
            <w:r>
              <w:rPr>
                <w:rFonts w:cs="Arial" w:ascii="Arial" w:hAnsi="Arial"/>
                <w:b/>
                <w:bCs/>
                <w:lang w:val="en-GB"/>
              </w:rPr>
              <w:t xml:space="preserve">Lot No 2: </w:t>
            </w:r>
            <w:r>
              <w:rPr>
                <w:rFonts w:cs="Arial" w:ascii="Arial" w:hAnsi="Arial"/>
                <w:b/>
                <w:sz w:val="22"/>
                <w:szCs w:val="32"/>
                <w:lang w:val="en-GB"/>
              </w:rPr>
              <w:t>Contactless NFC PVC Card (8K)</w:t>
            </w:r>
          </w:p>
        </w:tc>
      </w:tr>
      <w:tr>
        <w:trPr>
          <w:trHeight w:val="593" w:hRule="atLeast"/>
          <w:cantSplit w:val="true"/>
        </w:trPr>
        <w:tc>
          <w:tcPr>
            <w:tcW w:w="718" w:type="dxa"/>
            <w:tcBorders>
              <w:top w:val="single" w:sz="6" w:space="0" w:color="000000"/>
              <w:left w:val="double" w:sz="4" w:space="0" w:color="000000"/>
              <w:bottom w:val="double" w:sz="4" w:space="0" w:color="000000"/>
              <w:right w:val="single" w:sz="6" w:space="0" w:color="000000"/>
            </w:tcBorders>
          </w:tcPr>
          <w:p>
            <w:pPr>
              <w:pStyle w:val="Normal"/>
              <w:widowControl w:val="false"/>
              <w:spacing w:before="120" w:after="0"/>
              <w:jc w:val="center"/>
              <w:rPr>
                <w:rFonts w:ascii="Arial" w:hAnsi="Arial" w:cs="Arial"/>
                <w:lang w:val="en-GB"/>
              </w:rPr>
            </w:pPr>
            <w:r>
              <w:rPr>
                <w:rFonts w:cs="Arial" w:ascii="Arial" w:hAnsi="Arial"/>
                <w:lang w:val="en-GB"/>
              </w:rPr>
              <w:t>01</w:t>
            </w:r>
          </w:p>
        </w:tc>
        <w:tc>
          <w:tcPr>
            <w:tcW w:w="3062" w:type="dxa"/>
            <w:tcBorders>
              <w:top w:val="single" w:sz="6" w:space="0" w:color="000000"/>
              <w:left w:val="single" w:sz="6" w:space="0" w:color="000000"/>
              <w:bottom w:val="double" w:sz="4" w:space="0" w:color="000000"/>
              <w:right w:val="single" w:sz="6" w:space="0" w:color="000000"/>
            </w:tcBorders>
            <w:vAlign w:val="bottom"/>
          </w:tcPr>
          <w:p>
            <w:pPr>
              <w:pStyle w:val="Normal"/>
              <w:widowControl w:val="false"/>
              <w:suppressAutoHyphens w:val="true"/>
              <w:snapToGrid w:val="false"/>
              <w:spacing w:before="120" w:after="0"/>
              <w:rPr>
                <w:b/>
                <w:b/>
                <w:sz w:val="22"/>
                <w:szCs w:val="32"/>
                <w:lang w:val="en-GB"/>
              </w:rPr>
            </w:pPr>
            <w:r>
              <w:rPr>
                <w:b/>
                <w:sz w:val="22"/>
                <w:szCs w:val="32"/>
                <w:lang w:val="en-GB"/>
              </w:rPr>
              <w:t>Contactless NFC PVC Card (8K):</w:t>
            </w:r>
          </w:p>
          <w:p>
            <w:pPr>
              <w:pStyle w:val="Normal"/>
              <w:widowControl w:val="false"/>
              <w:suppressAutoHyphens w:val="true"/>
              <w:snapToGrid w:val="false"/>
              <w:spacing w:before="0" w:after="120"/>
              <w:rPr>
                <w:sz w:val="20"/>
                <w:szCs w:val="32"/>
                <w:lang w:val="en-GB"/>
              </w:rPr>
            </w:pPr>
            <w:r>
              <w:rPr>
                <w:sz w:val="20"/>
                <w:szCs w:val="32"/>
                <w:lang w:val="en-GB"/>
              </w:rPr>
              <w:t>Contactless NFC PVC Mifare Desfire EVC, 8KB Memory</w:t>
            </w:r>
          </w:p>
        </w:tc>
        <w:tc>
          <w:tcPr>
            <w:tcW w:w="1080" w:type="dxa"/>
            <w:tcBorders>
              <w:top w:val="single" w:sz="6" w:space="0" w:color="000000"/>
              <w:left w:val="single" w:sz="6" w:space="0" w:color="000000"/>
              <w:bottom w:val="double" w:sz="4" w:space="0" w:color="000000"/>
              <w:right w:val="single" w:sz="6" w:space="0" w:color="000000"/>
            </w:tcBorders>
          </w:tcPr>
          <w:p>
            <w:pPr>
              <w:pStyle w:val="Normal"/>
              <w:widowControl w:val="false"/>
              <w:spacing w:before="120" w:after="0"/>
              <w:jc w:val="center"/>
              <w:rPr>
                <w:rFonts w:ascii="Arial" w:hAnsi="Arial" w:cs="Arial"/>
                <w:lang w:val="en-GB"/>
              </w:rPr>
            </w:pPr>
            <w:r>
              <w:rPr>
                <w:rFonts w:cs="Arial" w:ascii="Arial" w:hAnsi="Arial"/>
                <w:sz w:val="22"/>
                <w:szCs w:val="22"/>
                <w:lang w:val="en-GB"/>
              </w:rPr>
              <w:t>pcs</w:t>
            </w:r>
          </w:p>
        </w:tc>
        <w:tc>
          <w:tcPr>
            <w:tcW w:w="1080" w:type="dxa"/>
            <w:tcBorders>
              <w:top w:val="single" w:sz="6" w:space="0" w:color="000000"/>
              <w:left w:val="single" w:sz="6" w:space="0" w:color="000000"/>
              <w:bottom w:val="double" w:sz="4" w:space="0" w:color="000000"/>
              <w:right w:val="single" w:sz="6" w:space="0" w:color="000000"/>
            </w:tcBorders>
          </w:tcPr>
          <w:p>
            <w:pPr>
              <w:pStyle w:val="Normal"/>
              <w:widowControl w:val="false"/>
              <w:suppressAutoHyphens w:val="true"/>
              <w:snapToGrid w:val="false"/>
              <w:jc w:val="center"/>
              <w:rPr>
                <w:sz w:val="14"/>
                <w:szCs w:val="20"/>
                <w:lang w:bidi="he-IL"/>
              </w:rPr>
            </w:pPr>
            <w:r>
              <w:rPr>
                <w:sz w:val="14"/>
                <w:szCs w:val="20"/>
                <w:lang w:bidi="he-IL"/>
              </w:rPr>
            </w:r>
          </w:p>
          <w:p>
            <w:pPr>
              <w:pStyle w:val="Normal"/>
              <w:widowControl w:val="false"/>
              <w:suppressAutoHyphens w:val="true"/>
              <w:jc w:val="center"/>
              <w:rPr>
                <w:rFonts w:ascii="Arial" w:hAnsi="Arial" w:cs="Arial"/>
                <w:sz w:val="16"/>
                <w:szCs w:val="16"/>
                <w:lang w:val="en-GB"/>
              </w:rPr>
            </w:pPr>
            <w:r>
              <w:rPr>
                <w:rFonts w:cs="Arial" w:ascii="Arial" w:hAnsi="Arial"/>
                <w:sz w:val="22"/>
                <w:szCs w:val="22"/>
                <w:lang w:val="en-GB"/>
              </w:rPr>
              <w:t>20000 pcs</w:t>
            </w:r>
          </w:p>
        </w:tc>
        <w:tc>
          <w:tcPr>
            <w:tcW w:w="2250" w:type="dxa"/>
            <w:tcBorders>
              <w:top w:val="single" w:sz="6" w:space="0" w:color="000000"/>
              <w:left w:val="single" w:sz="6" w:space="0" w:color="000000"/>
              <w:bottom w:val="double" w:sz="4" w:space="0" w:color="000000"/>
              <w:right w:val="single" w:sz="6" w:space="0" w:color="000000"/>
            </w:tcBorders>
          </w:tcPr>
          <w:p>
            <w:pPr>
              <w:pStyle w:val="Normal"/>
              <w:widowControl w:val="false"/>
              <w:jc w:val="center"/>
              <w:rPr>
                <w:rFonts w:ascii="Arial" w:hAnsi="Arial" w:cs="Arial"/>
                <w:b/>
                <w:b/>
                <w:sz w:val="16"/>
                <w:szCs w:val="16"/>
                <w:lang w:val="en-GB"/>
              </w:rPr>
            </w:pPr>
            <w:r>
              <w:rPr>
                <w:rFonts w:cs="Arial" w:ascii="Arial" w:hAnsi="Arial"/>
                <w:b/>
                <w:sz w:val="16"/>
                <w:szCs w:val="16"/>
                <w:lang w:val="en-GB"/>
              </w:rPr>
            </w:r>
          </w:p>
          <w:p>
            <w:pPr>
              <w:pStyle w:val="Normal"/>
              <w:widowControl w:val="false"/>
              <w:jc w:val="center"/>
              <w:rPr>
                <w:rFonts w:ascii="Arial" w:hAnsi="Arial" w:cs="Arial"/>
                <w:lang w:val="en-GB"/>
              </w:rPr>
            </w:pPr>
            <w:r>
              <w:rPr>
                <w:rFonts w:cs="Arial" w:ascii="Arial" w:hAnsi="Arial"/>
                <w:b/>
                <w:sz w:val="16"/>
                <w:szCs w:val="16"/>
                <w:lang w:val="en-GB"/>
              </w:rPr>
              <w:t>Same to above</w:t>
            </w:r>
          </w:p>
        </w:tc>
        <w:tc>
          <w:tcPr>
            <w:tcW w:w="1169" w:type="dxa"/>
            <w:tcBorders>
              <w:top w:val="single" w:sz="6" w:space="0" w:color="000000"/>
              <w:left w:val="single" w:sz="6" w:space="0" w:color="000000"/>
              <w:bottom w:val="double" w:sz="4" w:space="0" w:color="000000"/>
              <w:right w:val="double" w:sz="4" w:space="0" w:color="000000"/>
            </w:tcBorders>
          </w:tcPr>
          <w:p>
            <w:pPr>
              <w:pStyle w:val="Normal"/>
              <w:widowControl w:val="false"/>
              <w:spacing w:before="120" w:after="0"/>
              <w:jc w:val="center"/>
              <w:rPr>
                <w:rFonts w:ascii="Arial" w:hAnsi="Arial" w:cs="Arial"/>
                <w:lang w:val="en-GB"/>
              </w:rPr>
            </w:pPr>
            <w:r>
              <w:rPr>
                <w:rFonts w:cs="Arial" w:ascii="Arial" w:hAnsi="Arial"/>
                <w:b/>
                <w:sz w:val="16"/>
                <w:szCs w:val="16"/>
                <w:lang w:val="en-GB"/>
              </w:rPr>
              <w:t>6</w:t>
            </w:r>
            <w:r>
              <w:rPr>
                <w:rFonts w:cs="Arial" w:ascii="Arial" w:hAnsi="Arial"/>
                <w:b/>
                <w:sz w:val="16"/>
                <w:szCs w:val="16"/>
                <w:lang w:val="en-GB"/>
              </w:rPr>
              <w:t xml:space="preserve"> week from the date of contract signing</w:t>
            </w:r>
          </w:p>
        </w:tc>
      </w:tr>
    </w:tbl>
    <w:p>
      <w:pPr>
        <w:pStyle w:val="Normal"/>
        <w:jc w:val="both"/>
        <w:rPr>
          <w:rFonts w:ascii="Arial" w:hAnsi="Arial" w:cs="Arial"/>
          <w:sz w:val="22"/>
          <w:lang w:val="en-GB"/>
        </w:rPr>
      </w:pPr>
      <w:r>
        <w:rPr>
          <w:rFonts w:cs="Arial" w:ascii="Arial" w:hAnsi="Arial"/>
          <w:sz w:val="22"/>
          <w:lang w:val="en-GB"/>
        </w:rPr>
      </w:r>
    </w:p>
    <w:p>
      <w:pPr>
        <w:pStyle w:val="Normal"/>
        <w:jc w:val="both"/>
        <w:rPr>
          <w:rFonts w:ascii="Arial" w:hAnsi="Arial" w:cs="Arial"/>
          <w:lang w:val="en-GB"/>
        </w:rPr>
      </w:pPr>
      <w:r>
        <w:rPr>
          <w:rFonts w:cs="Arial" w:ascii="Arial" w:hAnsi="Arial"/>
          <w:sz w:val="22"/>
          <w:szCs w:val="22"/>
          <w:lang w:val="en-GB"/>
        </w:rPr>
        <w:t>Note 1:  Delivery period starts from the date of contract signing</w:t>
      </w:r>
      <w:r>
        <w:br w:type="page"/>
      </w:r>
    </w:p>
    <w:p>
      <w:pPr>
        <w:pStyle w:val="Normal"/>
        <w:jc w:val="both"/>
        <w:rPr>
          <w:rFonts w:ascii="Arial" w:hAnsi="Arial" w:cs="Arial"/>
          <w:b/>
          <w:b/>
          <w:bCs/>
          <w:sz w:val="28"/>
          <w:szCs w:val="28"/>
          <w:lang w:val="en-GB"/>
        </w:rPr>
      </w:pPr>
      <w:r>
        <w:rPr>
          <w:rFonts w:cs="Arial" w:ascii="Arial" w:hAnsi="Arial"/>
          <w:b/>
          <w:bCs/>
          <w:sz w:val="28"/>
          <w:szCs w:val="28"/>
          <w:lang w:val="en-GB"/>
        </w:rPr>
        <w:t>B.</w:t>
        <w:tab/>
        <w:t>List of Related Services and Completion Schedule</w:t>
      </w:r>
    </w:p>
    <w:p>
      <w:pPr>
        <w:pStyle w:val="Normal"/>
        <w:jc w:val="center"/>
        <w:rPr>
          <w:rFonts w:ascii="Arial" w:hAnsi="Arial" w:cs="Arial"/>
          <w:b/>
          <w:b/>
          <w:bCs/>
          <w:sz w:val="28"/>
          <w:szCs w:val="28"/>
          <w:lang w:val="en-GB"/>
        </w:rPr>
      </w:pPr>
      <w:r>
        <w:rPr>
          <w:rFonts w:cs="Arial" w:ascii="Arial" w:hAnsi="Arial"/>
          <w:b/>
          <w:bCs/>
          <w:sz w:val="28"/>
          <w:szCs w:val="28"/>
          <w:lang w:val="en-GB"/>
        </w:rPr>
      </w:r>
    </w:p>
    <w:tbl>
      <w:tblPr>
        <w:tblW w:w="9000" w:type="dxa"/>
        <w:jc w:val="left"/>
        <w:tblInd w:w="115" w:type="dxa"/>
        <w:tblLayout w:type="fixed"/>
        <w:tblCellMar>
          <w:top w:w="0" w:type="dxa"/>
          <w:left w:w="108" w:type="dxa"/>
          <w:bottom w:w="0" w:type="dxa"/>
          <w:right w:w="108" w:type="dxa"/>
        </w:tblCellMar>
        <w:tblLook w:val="0000" w:noHBand="0" w:noVBand="0" w:firstColumn="0" w:lastRow="0" w:lastColumn="0" w:firstRow="0"/>
      </w:tblPr>
      <w:tblGrid>
        <w:gridCol w:w="9000"/>
      </w:tblGrid>
      <w:tr>
        <w:trPr/>
        <w:tc>
          <w:tcPr>
            <w:tcW w:w="9000" w:type="dxa"/>
            <w:tcBorders>
              <w:top w:val="single" w:sz="6" w:space="0" w:color="000000"/>
              <w:left w:val="single" w:sz="6" w:space="0" w:color="000000"/>
              <w:bottom w:val="single" w:sz="6" w:space="0" w:color="000000"/>
              <w:right w:val="single" w:sz="6" w:space="0" w:color="000000"/>
            </w:tcBorders>
          </w:tcPr>
          <w:p>
            <w:pPr>
              <w:pStyle w:val="Normal"/>
              <w:widowControl w:val="false"/>
              <w:jc w:val="center"/>
              <w:rPr>
                <w:rFonts w:ascii="Arial" w:hAnsi="Arial" w:cs="Arial"/>
                <w:b/>
                <w:b/>
                <w:bCs/>
                <w:szCs w:val="22"/>
                <w:lang w:val="en-GB"/>
              </w:rPr>
            </w:pPr>
            <w:r>
              <w:rPr>
                <w:rFonts w:cs="Arial" w:ascii="Arial" w:hAnsi="Arial"/>
                <w:b/>
                <w:bCs/>
                <w:szCs w:val="22"/>
                <w:lang w:val="en-GB"/>
              </w:rPr>
              <w:t>Notes on Related Services</w:t>
            </w:r>
          </w:p>
          <w:p>
            <w:pPr>
              <w:pStyle w:val="Normal"/>
              <w:widowControl w:val="false"/>
              <w:rPr>
                <w:rFonts w:ascii="Arial" w:hAnsi="Arial" w:cs="Arial"/>
                <w:szCs w:val="22"/>
                <w:lang w:val="en-GB"/>
              </w:rPr>
            </w:pPr>
            <w:r>
              <w:rPr>
                <w:rFonts w:cs="Arial" w:ascii="Arial" w:hAnsi="Arial"/>
                <w:szCs w:val="22"/>
                <w:lang w:val="en-GB"/>
              </w:rPr>
            </w:r>
          </w:p>
          <w:p>
            <w:pPr>
              <w:pStyle w:val="Normal"/>
              <w:widowControl w:val="false"/>
              <w:jc w:val="both"/>
              <w:rPr>
                <w:rFonts w:ascii="Arial" w:hAnsi="Arial" w:cs="Arial"/>
                <w:i/>
                <w:i/>
                <w:sz w:val="22"/>
                <w:szCs w:val="22"/>
                <w:lang w:val="en-GB"/>
              </w:rPr>
            </w:pPr>
            <w:r>
              <w:rPr>
                <w:rFonts w:cs="Arial" w:ascii="Arial" w:hAnsi="Arial"/>
                <w:i/>
                <w:sz w:val="22"/>
                <w:szCs w:val="22"/>
                <w:lang w:val="en-GB"/>
              </w:rPr>
              <w:t>The Procuring Entity shall clearly specify the Related services/Incidental services, other than inland transportation and other services required to convey the Goods to their final destination, in this Schedule of requirement. In particular, these services may refer to any of the following but not limited to:</w:t>
            </w:r>
          </w:p>
          <w:p>
            <w:pPr>
              <w:pStyle w:val="Normal"/>
              <w:widowControl w:val="false"/>
              <w:numPr>
                <w:ilvl w:val="0"/>
                <w:numId w:val="58"/>
              </w:numPr>
              <w:overflowPunct w:val="false"/>
              <w:spacing w:lineRule="atLeast" w:line="240" w:beforeAutospacing="1" w:after="240"/>
              <w:jc w:val="both"/>
              <w:textAlignment w:val="baseline"/>
              <w:rPr>
                <w:rFonts w:ascii="Arial" w:hAnsi="Arial" w:cs="Arial"/>
                <w:i/>
                <w:i/>
                <w:sz w:val="22"/>
                <w:szCs w:val="22"/>
                <w:lang w:val="en-GB"/>
              </w:rPr>
            </w:pPr>
            <w:r>
              <w:rPr>
                <w:rFonts w:cs="Arial" w:ascii="Arial" w:hAnsi="Arial"/>
                <w:i/>
                <w:sz w:val="22"/>
                <w:szCs w:val="22"/>
                <w:lang w:val="en-GB"/>
              </w:rPr>
              <w:t>performance or supervision of on-site assembly and/or start</w:t>
              <w:noBreakHyphen/>
              <w:t>up of the supplied Goods;</w:t>
            </w:r>
          </w:p>
          <w:p>
            <w:pPr>
              <w:pStyle w:val="Normal"/>
              <w:widowControl w:val="false"/>
              <w:numPr>
                <w:ilvl w:val="0"/>
                <w:numId w:val="58"/>
              </w:numPr>
              <w:overflowPunct w:val="false"/>
              <w:spacing w:lineRule="atLeast" w:line="240" w:before="0" w:after="240"/>
              <w:jc w:val="both"/>
              <w:textAlignment w:val="baseline"/>
              <w:rPr>
                <w:rFonts w:ascii="Arial" w:hAnsi="Arial" w:cs="Arial"/>
                <w:i/>
                <w:i/>
                <w:sz w:val="22"/>
                <w:szCs w:val="22"/>
                <w:lang w:val="en-GB"/>
              </w:rPr>
            </w:pPr>
            <w:r>
              <w:rPr>
                <w:rFonts w:cs="Arial" w:ascii="Arial" w:hAnsi="Arial"/>
                <w:i/>
                <w:sz w:val="22"/>
                <w:szCs w:val="22"/>
                <w:lang w:val="en-GB"/>
              </w:rPr>
              <w:t>furnishing of tools required for assembly and/or maintenance of the supplied Goods;</w:t>
            </w:r>
          </w:p>
          <w:p>
            <w:pPr>
              <w:pStyle w:val="Normal"/>
              <w:widowControl w:val="false"/>
              <w:numPr>
                <w:ilvl w:val="0"/>
                <w:numId w:val="58"/>
              </w:numPr>
              <w:overflowPunct w:val="false"/>
              <w:spacing w:lineRule="atLeast" w:line="240" w:before="0" w:after="240"/>
              <w:jc w:val="both"/>
              <w:textAlignment w:val="baseline"/>
              <w:rPr>
                <w:rFonts w:ascii="Arial" w:hAnsi="Arial" w:cs="Arial"/>
                <w:i/>
                <w:i/>
                <w:sz w:val="22"/>
                <w:szCs w:val="22"/>
                <w:lang w:val="en-GB"/>
              </w:rPr>
            </w:pPr>
            <w:r>
              <w:rPr>
                <w:rFonts w:cs="Arial" w:ascii="Arial" w:hAnsi="Arial"/>
                <w:i/>
                <w:sz w:val="22"/>
                <w:szCs w:val="22"/>
                <w:lang w:val="en-GB"/>
              </w:rPr>
              <w:t>furnishing of a detailed operations and maintenance manual for each appropriate unit of the supplied Goods;</w:t>
            </w:r>
          </w:p>
          <w:p>
            <w:pPr>
              <w:pStyle w:val="Normal"/>
              <w:widowControl w:val="false"/>
              <w:numPr>
                <w:ilvl w:val="0"/>
                <w:numId w:val="58"/>
              </w:numPr>
              <w:overflowPunct w:val="false"/>
              <w:spacing w:lineRule="atLeast" w:line="240" w:before="0" w:after="240"/>
              <w:jc w:val="both"/>
              <w:textAlignment w:val="baseline"/>
              <w:rPr>
                <w:rFonts w:ascii="Arial" w:hAnsi="Arial" w:cs="Arial"/>
                <w:i/>
                <w:i/>
                <w:sz w:val="22"/>
                <w:szCs w:val="22"/>
                <w:lang w:val="en-GB"/>
              </w:rPr>
            </w:pPr>
            <w:r>
              <w:rPr>
                <w:rFonts w:cs="Arial" w:ascii="Arial" w:hAnsi="Arial"/>
                <w:i/>
                <w:sz w:val="22"/>
                <w:szCs w:val="22"/>
                <w:lang w:val="en-GB"/>
              </w:rPr>
              <w:t>performance or supervision or maintenance and/or repair of the supplied Goods, for a period of time as specified, provided that this service shall not relieve the Supplier of any warranty obligations under this Contract; and</w:t>
            </w:r>
          </w:p>
          <w:p>
            <w:pPr>
              <w:pStyle w:val="Normal"/>
              <w:widowControl w:val="false"/>
              <w:numPr>
                <w:ilvl w:val="0"/>
                <w:numId w:val="58"/>
              </w:numPr>
              <w:overflowPunct w:val="false"/>
              <w:spacing w:lineRule="atLeast" w:line="240" w:before="0" w:after="240"/>
              <w:jc w:val="both"/>
              <w:textAlignment w:val="baseline"/>
              <w:rPr>
                <w:rFonts w:ascii="Arial" w:hAnsi="Arial" w:cs="Arial"/>
                <w:i/>
                <w:i/>
                <w:szCs w:val="22"/>
                <w:lang w:val="en-GB"/>
              </w:rPr>
            </w:pPr>
            <w:r>
              <w:rPr>
                <w:rFonts w:cs="Arial" w:ascii="Arial" w:hAnsi="Arial"/>
                <w:i/>
                <w:sz w:val="22"/>
                <w:szCs w:val="22"/>
                <w:lang w:val="en-GB"/>
              </w:rPr>
              <w:t>training of the Procuring Entity’s personnel, at the Supplier’s plant and/or on-site, in assembly, start-up, operation, maintenance, and/or repair of the supplied Goods</w:t>
            </w:r>
          </w:p>
        </w:tc>
      </w:tr>
    </w:tbl>
    <w:p>
      <w:pPr>
        <w:pStyle w:val="SubClauseText"/>
        <w:spacing w:before="0" w:after="0"/>
        <w:jc w:val="left"/>
        <w:rPr>
          <w:rFonts w:ascii="Arial" w:hAnsi="Arial" w:cs="Arial"/>
          <w:szCs w:val="22"/>
          <w:lang w:val="en-GB"/>
        </w:rPr>
      </w:pPr>
      <w:r>
        <w:rPr>
          <w:rFonts w:cs="Arial" w:ascii="Arial" w:hAnsi="Arial"/>
          <w:szCs w:val="22"/>
          <w:lang w:val="en-GB"/>
        </w:rPr>
      </w:r>
    </w:p>
    <w:p>
      <w:pPr>
        <w:pStyle w:val="SubClauseText"/>
        <w:spacing w:before="0" w:after="0"/>
        <w:jc w:val="left"/>
        <w:rPr>
          <w:rFonts w:ascii="Arial" w:hAnsi="Arial" w:cs="Arial"/>
          <w:sz w:val="22"/>
          <w:szCs w:val="22"/>
          <w:lang w:val="en-GB"/>
        </w:rPr>
      </w:pPr>
      <w:r>
        <w:rPr>
          <w:rFonts w:cs="Arial" w:ascii="Arial" w:hAnsi="Arial"/>
          <w:sz w:val="22"/>
          <w:szCs w:val="22"/>
          <w:lang w:val="en-GB"/>
        </w:rPr>
        <w:t>When completing Form PG3-2 the Tenderer shall quote prices and Completion date for services for each item against each lot</w:t>
      </w:r>
    </w:p>
    <w:p>
      <w:pPr>
        <w:pStyle w:val="SubClauseText"/>
        <w:spacing w:before="0" w:after="0"/>
        <w:jc w:val="left"/>
        <w:rPr>
          <w:rFonts w:ascii="Arial" w:hAnsi="Arial" w:cs="Arial"/>
          <w:sz w:val="22"/>
          <w:szCs w:val="22"/>
          <w:lang w:val="en-GB"/>
        </w:rPr>
      </w:pPr>
      <w:r>
        <w:rPr>
          <w:rFonts w:cs="Arial" w:ascii="Arial" w:hAnsi="Arial"/>
          <w:sz w:val="22"/>
          <w:szCs w:val="22"/>
          <w:lang w:val="en-GB"/>
        </w:rPr>
      </w:r>
    </w:p>
    <w:p>
      <w:pPr>
        <w:pStyle w:val="SubClauseText"/>
        <w:spacing w:before="0" w:after="0"/>
        <w:jc w:val="center"/>
        <w:rPr>
          <w:rFonts w:ascii="Arial" w:hAnsi="Arial" w:cs="Arial"/>
          <w:sz w:val="20"/>
          <w:lang w:val="en-GB"/>
        </w:rPr>
      </w:pPr>
      <w:r>
        <w:rPr>
          <w:rFonts w:cs="Arial" w:ascii="Arial" w:hAnsi="Arial"/>
          <w:sz w:val="20"/>
          <w:lang w:val="en-GB"/>
        </w:rPr>
      </w:r>
    </w:p>
    <w:tbl>
      <w:tblPr>
        <w:tblW w:w="9000"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810"/>
        <w:gridCol w:w="3060"/>
        <w:gridCol w:w="1170"/>
        <w:gridCol w:w="1287"/>
        <w:gridCol w:w="1233"/>
        <w:gridCol w:w="1439"/>
      </w:tblGrid>
      <w:tr>
        <w:trPr>
          <w:trHeight w:val="520" w:hRule="atLeast"/>
          <w:cantSplit w:val="true"/>
        </w:trPr>
        <w:tc>
          <w:tcPr>
            <w:tcW w:w="810" w:type="dxa"/>
            <w:vMerge w:val="restart"/>
            <w:tcBorders>
              <w:top w:val="double" w:sz="4" w:space="0" w:color="000000"/>
              <w:left w:val="double" w:sz="4" w:space="0" w:color="000000"/>
              <w:bottom w:val="double" w:sz="4" w:space="0" w:color="000000"/>
              <w:right w:val="single" w:sz="6" w:space="0" w:color="000000"/>
            </w:tcBorders>
          </w:tcPr>
          <w:p>
            <w:pPr>
              <w:pStyle w:val="Normal"/>
              <w:widowControl w:val="false"/>
              <w:jc w:val="both"/>
              <w:rPr>
                <w:rFonts w:ascii="Arial" w:hAnsi="Arial" w:cs="Arial"/>
                <w:b/>
                <w:b/>
                <w:bCs/>
                <w:lang w:val="en-GB"/>
              </w:rPr>
            </w:pPr>
            <w:r>
              <w:rPr>
                <w:rFonts w:cs="Arial" w:ascii="Arial" w:hAnsi="Arial"/>
                <w:b/>
                <w:bCs/>
                <w:lang w:val="en-GB"/>
              </w:rPr>
              <w:t>Item No.</w:t>
            </w:r>
          </w:p>
        </w:tc>
        <w:tc>
          <w:tcPr>
            <w:tcW w:w="3060" w:type="dxa"/>
            <w:vMerge w:val="restart"/>
            <w:tcBorders>
              <w:top w:val="double" w:sz="4" w:space="0" w:color="000000"/>
              <w:left w:val="single" w:sz="6" w:space="0" w:color="000000"/>
              <w:bottom w:val="double" w:sz="4" w:space="0" w:color="000000"/>
              <w:right w:val="single" w:sz="6" w:space="0" w:color="000000"/>
            </w:tcBorders>
          </w:tcPr>
          <w:p>
            <w:pPr>
              <w:pStyle w:val="Normal"/>
              <w:widowControl w:val="false"/>
              <w:rPr>
                <w:rFonts w:ascii="Arial" w:hAnsi="Arial" w:cs="Arial"/>
                <w:b/>
                <w:b/>
                <w:bCs/>
                <w:lang w:val="en-GB"/>
              </w:rPr>
            </w:pPr>
            <w:r>
              <w:rPr>
                <w:rFonts w:cs="Arial" w:ascii="Arial" w:hAnsi="Arial"/>
                <w:b/>
                <w:bCs/>
                <w:lang w:val="en-GB"/>
              </w:rPr>
              <w:t>Description of Related Services</w:t>
            </w:r>
          </w:p>
        </w:tc>
        <w:tc>
          <w:tcPr>
            <w:tcW w:w="1170" w:type="dxa"/>
            <w:vMerge w:val="restart"/>
            <w:tcBorders>
              <w:top w:val="double" w:sz="4" w:space="0" w:color="000000"/>
              <w:left w:val="single" w:sz="6" w:space="0" w:color="000000"/>
              <w:bottom w:val="double" w:sz="4" w:space="0" w:color="000000"/>
              <w:right w:val="single" w:sz="6" w:space="0" w:color="000000"/>
            </w:tcBorders>
          </w:tcPr>
          <w:p>
            <w:pPr>
              <w:pStyle w:val="Normal"/>
              <w:widowControl w:val="false"/>
              <w:jc w:val="center"/>
              <w:rPr>
                <w:rFonts w:ascii="Arial" w:hAnsi="Arial" w:cs="Arial"/>
                <w:b/>
                <w:b/>
                <w:bCs/>
                <w:lang w:val="en-GB"/>
              </w:rPr>
            </w:pPr>
            <w:r>
              <w:rPr>
                <w:rFonts w:cs="Arial" w:ascii="Arial" w:hAnsi="Arial"/>
                <w:b/>
                <w:bCs/>
                <w:lang w:val="en-GB"/>
              </w:rPr>
              <w:t>Unit of</w:t>
            </w:r>
          </w:p>
          <w:p>
            <w:pPr>
              <w:pStyle w:val="Normal"/>
              <w:widowControl w:val="false"/>
              <w:jc w:val="center"/>
              <w:rPr>
                <w:rFonts w:ascii="Arial" w:hAnsi="Arial" w:cs="Arial"/>
                <w:b/>
                <w:b/>
                <w:bCs/>
                <w:lang w:val="en-GB"/>
              </w:rPr>
            </w:pPr>
            <w:r>
              <w:rPr>
                <w:rFonts w:cs="Arial" w:ascii="Arial" w:hAnsi="Arial"/>
                <w:b/>
                <w:bCs/>
                <w:lang w:val="en-GB"/>
              </w:rPr>
              <w:t>Supply</w:t>
            </w:r>
          </w:p>
        </w:tc>
        <w:tc>
          <w:tcPr>
            <w:tcW w:w="1287" w:type="dxa"/>
            <w:vMerge w:val="restart"/>
            <w:tcBorders>
              <w:top w:val="double" w:sz="4" w:space="0" w:color="000000"/>
              <w:left w:val="single" w:sz="6" w:space="0" w:color="000000"/>
              <w:bottom w:val="double" w:sz="4" w:space="0" w:color="000000"/>
              <w:right w:val="single" w:sz="6" w:space="0" w:color="000000"/>
            </w:tcBorders>
          </w:tcPr>
          <w:p>
            <w:pPr>
              <w:pStyle w:val="Normal"/>
              <w:widowControl w:val="false"/>
              <w:jc w:val="center"/>
              <w:rPr>
                <w:rFonts w:ascii="Arial" w:hAnsi="Arial" w:cs="Arial"/>
                <w:b/>
                <w:b/>
                <w:bCs/>
                <w:lang w:val="en-GB"/>
              </w:rPr>
            </w:pPr>
            <w:r>
              <w:rPr>
                <w:rFonts w:cs="Arial" w:ascii="Arial" w:hAnsi="Arial"/>
                <w:b/>
                <w:bCs/>
                <w:lang w:val="en-GB"/>
              </w:rPr>
              <w:t>Quantity of Units</w:t>
            </w:r>
          </w:p>
          <w:p>
            <w:pPr>
              <w:pStyle w:val="Normal"/>
              <w:widowControl w:val="false"/>
              <w:jc w:val="center"/>
              <w:rPr>
                <w:rFonts w:ascii="Arial" w:hAnsi="Arial" w:cs="Arial"/>
                <w:b/>
                <w:b/>
                <w:bCs/>
                <w:lang w:val="en-GB"/>
              </w:rPr>
            </w:pPr>
            <w:r>
              <w:rPr>
                <w:rFonts w:cs="Arial" w:ascii="Arial" w:hAnsi="Arial"/>
                <w:b/>
                <w:bCs/>
                <w:lang w:val="en-GB"/>
              </w:rPr>
              <w:t>Required</w:t>
            </w:r>
          </w:p>
        </w:tc>
        <w:tc>
          <w:tcPr>
            <w:tcW w:w="1233" w:type="dxa"/>
            <w:vMerge w:val="restart"/>
            <w:tcBorders>
              <w:top w:val="double" w:sz="4" w:space="0" w:color="000000"/>
              <w:left w:val="single" w:sz="6" w:space="0" w:color="000000"/>
              <w:bottom w:val="double" w:sz="4" w:space="0" w:color="000000"/>
              <w:right w:val="single" w:sz="6" w:space="0" w:color="000000"/>
            </w:tcBorders>
          </w:tcPr>
          <w:p>
            <w:pPr>
              <w:pStyle w:val="Normal"/>
              <w:widowControl w:val="false"/>
              <w:jc w:val="center"/>
              <w:rPr>
                <w:rFonts w:ascii="Arial" w:hAnsi="Arial" w:cs="Arial"/>
                <w:b/>
                <w:b/>
                <w:bCs/>
                <w:lang w:val="en-GB"/>
              </w:rPr>
            </w:pPr>
            <w:r>
              <w:rPr>
                <w:rFonts w:cs="Arial" w:ascii="Arial" w:hAnsi="Arial"/>
                <w:b/>
                <w:bCs/>
                <w:lang w:val="en-GB"/>
              </w:rPr>
              <w:t>Point at which Services are required</w:t>
            </w:r>
          </w:p>
        </w:tc>
        <w:tc>
          <w:tcPr>
            <w:tcW w:w="1439" w:type="dxa"/>
            <w:vMerge w:val="restart"/>
            <w:tcBorders>
              <w:top w:val="double" w:sz="4" w:space="0" w:color="000000"/>
              <w:left w:val="single" w:sz="6" w:space="0" w:color="000000"/>
              <w:bottom w:val="double" w:sz="4" w:space="0" w:color="000000"/>
              <w:right w:val="double" w:sz="4" w:space="0" w:color="000000"/>
            </w:tcBorders>
          </w:tcPr>
          <w:p>
            <w:pPr>
              <w:pStyle w:val="Normal"/>
              <w:widowControl w:val="false"/>
              <w:jc w:val="center"/>
              <w:rPr>
                <w:rFonts w:ascii="Arial" w:hAnsi="Arial" w:cs="Arial"/>
                <w:b/>
                <w:b/>
                <w:bCs/>
                <w:lang w:val="en-GB"/>
              </w:rPr>
            </w:pPr>
            <w:r>
              <w:rPr>
                <w:rFonts w:cs="Arial" w:ascii="Arial" w:hAnsi="Arial"/>
                <w:b/>
                <w:bCs/>
                <w:lang w:val="en-GB"/>
              </w:rPr>
              <w:t>Required Completion Date for Services</w:t>
            </w:r>
          </w:p>
        </w:tc>
      </w:tr>
      <w:tr>
        <w:trPr>
          <w:trHeight w:val="520" w:hRule="atLeast"/>
          <w:cantSplit w:val="true"/>
        </w:trPr>
        <w:tc>
          <w:tcPr>
            <w:tcW w:w="810" w:type="dxa"/>
            <w:vMerge w:val="continue"/>
            <w:tcBorders>
              <w:top w:val="single" w:sz="6" w:space="0" w:color="000000"/>
              <w:left w:val="double" w:sz="4" w:space="0" w:color="000000"/>
              <w:bottom w:val="double" w:sz="4" w:space="0" w:color="000000"/>
              <w:right w:val="single" w:sz="6" w:space="0" w:color="000000"/>
            </w:tcBorders>
          </w:tcPr>
          <w:p>
            <w:pPr>
              <w:pStyle w:val="Normal"/>
              <w:widowControl w:val="false"/>
              <w:jc w:val="both"/>
              <w:rPr>
                <w:rFonts w:cs="Arial"/>
                <w:bCs/>
                <w:lang w:val="en-GB"/>
              </w:rPr>
            </w:pPr>
            <w:r>
              <w:rPr>
                <w:rFonts w:cs="Arial"/>
                <w:bCs/>
                <w:lang w:val="en-GB"/>
              </w:rPr>
            </w:r>
          </w:p>
        </w:tc>
        <w:tc>
          <w:tcPr>
            <w:tcW w:w="3060" w:type="dxa"/>
            <w:vMerge w:val="continue"/>
            <w:tcBorders>
              <w:top w:val="single" w:sz="6" w:space="0" w:color="000000"/>
              <w:left w:val="single" w:sz="6" w:space="0" w:color="000000"/>
              <w:bottom w:val="double" w:sz="4" w:space="0" w:color="000000"/>
              <w:right w:val="single" w:sz="6" w:space="0" w:color="000000"/>
            </w:tcBorders>
          </w:tcPr>
          <w:p>
            <w:pPr>
              <w:pStyle w:val="Normal"/>
              <w:widowControl w:val="false"/>
              <w:rPr>
                <w:rFonts w:cs="Arial"/>
                <w:bCs/>
                <w:lang w:val="en-GB"/>
              </w:rPr>
            </w:pPr>
            <w:r>
              <w:rPr>
                <w:rFonts w:cs="Arial"/>
                <w:bCs/>
                <w:lang w:val="en-GB"/>
              </w:rPr>
            </w:r>
          </w:p>
        </w:tc>
        <w:tc>
          <w:tcPr>
            <w:tcW w:w="1170" w:type="dxa"/>
            <w:vMerge w:val="continue"/>
            <w:tcBorders>
              <w:top w:val="single" w:sz="6" w:space="0" w:color="000000"/>
              <w:left w:val="single" w:sz="6" w:space="0" w:color="000000"/>
              <w:bottom w:val="double" w:sz="4" w:space="0" w:color="000000"/>
              <w:right w:val="single" w:sz="6" w:space="0" w:color="000000"/>
            </w:tcBorders>
          </w:tcPr>
          <w:p>
            <w:pPr>
              <w:pStyle w:val="Normal"/>
              <w:widowControl w:val="false"/>
              <w:jc w:val="both"/>
              <w:rPr>
                <w:rFonts w:cs="Arial"/>
                <w:bCs/>
                <w:lang w:val="en-GB"/>
              </w:rPr>
            </w:pPr>
            <w:r>
              <w:rPr>
                <w:rFonts w:cs="Arial"/>
                <w:bCs/>
                <w:lang w:val="en-GB"/>
              </w:rPr>
            </w:r>
          </w:p>
        </w:tc>
        <w:tc>
          <w:tcPr>
            <w:tcW w:w="1287" w:type="dxa"/>
            <w:vMerge w:val="continue"/>
            <w:tcBorders>
              <w:top w:val="single" w:sz="6" w:space="0" w:color="000000"/>
              <w:left w:val="single" w:sz="6" w:space="0" w:color="000000"/>
              <w:bottom w:val="double" w:sz="4" w:space="0" w:color="000000"/>
              <w:right w:val="single" w:sz="6" w:space="0" w:color="000000"/>
            </w:tcBorders>
          </w:tcPr>
          <w:p>
            <w:pPr>
              <w:pStyle w:val="Normal"/>
              <w:widowControl w:val="false"/>
              <w:jc w:val="both"/>
              <w:rPr>
                <w:rFonts w:cs="Arial"/>
                <w:bCs/>
                <w:lang w:val="en-GB"/>
              </w:rPr>
            </w:pPr>
            <w:r>
              <w:rPr>
                <w:rFonts w:cs="Arial"/>
                <w:bCs/>
                <w:lang w:val="en-GB"/>
              </w:rPr>
            </w:r>
          </w:p>
        </w:tc>
        <w:tc>
          <w:tcPr>
            <w:tcW w:w="1233" w:type="dxa"/>
            <w:vMerge w:val="continue"/>
            <w:tcBorders>
              <w:top w:val="single" w:sz="6" w:space="0" w:color="000000"/>
              <w:left w:val="single" w:sz="6" w:space="0" w:color="000000"/>
              <w:bottom w:val="double" w:sz="4" w:space="0" w:color="000000"/>
              <w:right w:val="single" w:sz="6" w:space="0" w:color="000000"/>
            </w:tcBorders>
          </w:tcPr>
          <w:p>
            <w:pPr>
              <w:pStyle w:val="Normal"/>
              <w:widowControl w:val="false"/>
              <w:rPr>
                <w:rFonts w:ascii="Arial" w:hAnsi="Arial" w:cs="Arial"/>
                <w:b/>
                <w:b/>
                <w:bCs/>
                <w:lang w:val="en-GB"/>
              </w:rPr>
            </w:pPr>
            <w:r>
              <w:rPr>
                <w:rFonts w:cs="Arial" w:ascii="Arial" w:hAnsi="Arial"/>
                <w:b/>
                <w:bCs/>
                <w:lang w:val="en-GB"/>
              </w:rPr>
            </w:r>
          </w:p>
        </w:tc>
        <w:tc>
          <w:tcPr>
            <w:tcW w:w="1439" w:type="dxa"/>
            <w:vMerge w:val="continue"/>
            <w:tcBorders>
              <w:top w:val="single" w:sz="6" w:space="0" w:color="000000"/>
              <w:left w:val="single" w:sz="6" w:space="0" w:color="000000"/>
              <w:bottom w:val="double" w:sz="4" w:space="0" w:color="000000"/>
              <w:right w:val="double" w:sz="4" w:space="0" w:color="000000"/>
            </w:tcBorders>
          </w:tcPr>
          <w:p>
            <w:pPr>
              <w:pStyle w:val="Normal"/>
              <w:widowControl w:val="false"/>
              <w:rPr>
                <w:rFonts w:cs="Arial"/>
                <w:bCs/>
                <w:lang w:val="en-GB"/>
              </w:rPr>
            </w:pPr>
            <w:r>
              <w:rPr>
                <w:rFonts w:cs="Arial"/>
                <w:bCs/>
                <w:lang w:val="en-GB"/>
              </w:rPr>
            </w:r>
          </w:p>
        </w:tc>
      </w:tr>
      <w:tr>
        <w:trPr>
          <w:trHeight w:val="276" w:hRule="atLeast"/>
          <w:cantSplit w:val="true"/>
        </w:trPr>
        <w:tc>
          <w:tcPr>
            <w:tcW w:w="810" w:type="dxa"/>
            <w:vMerge w:val="continue"/>
            <w:tcBorders>
              <w:top w:val="single" w:sz="6" w:space="0" w:color="000000"/>
              <w:left w:val="double" w:sz="4" w:space="0" w:color="000000"/>
              <w:bottom w:val="double" w:sz="4" w:space="0" w:color="000000"/>
              <w:right w:val="single" w:sz="6" w:space="0" w:color="000000"/>
            </w:tcBorders>
          </w:tcPr>
          <w:p>
            <w:pPr>
              <w:pStyle w:val="Normal"/>
              <w:widowControl w:val="false"/>
              <w:rPr>
                <w:rFonts w:ascii="Arial" w:hAnsi="Arial" w:cs="Arial"/>
              </w:rPr>
            </w:pPr>
            <w:r>
              <w:rPr>
                <w:rFonts w:cs="Arial" w:ascii="Arial" w:hAnsi="Arial"/>
              </w:rPr>
            </w:r>
          </w:p>
        </w:tc>
        <w:tc>
          <w:tcPr>
            <w:tcW w:w="3060" w:type="dxa"/>
            <w:vMerge w:val="continue"/>
            <w:tcBorders>
              <w:top w:val="single" w:sz="6" w:space="0" w:color="000000"/>
              <w:left w:val="single" w:sz="6" w:space="0" w:color="000000"/>
              <w:bottom w:val="double" w:sz="4" w:space="0" w:color="000000"/>
              <w:right w:val="single" w:sz="6" w:space="0" w:color="000000"/>
            </w:tcBorders>
          </w:tcPr>
          <w:p>
            <w:pPr>
              <w:pStyle w:val="Normal"/>
              <w:widowControl w:val="false"/>
              <w:rPr>
                <w:rFonts w:ascii="Arial" w:hAnsi="Arial" w:cs="Arial"/>
              </w:rPr>
            </w:pPr>
            <w:r>
              <w:rPr>
                <w:rFonts w:cs="Arial" w:ascii="Arial" w:hAnsi="Arial"/>
              </w:rPr>
            </w:r>
          </w:p>
        </w:tc>
        <w:tc>
          <w:tcPr>
            <w:tcW w:w="1170" w:type="dxa"/>
            <w:vMerge w:val="continue"/>
            <w:tcBorders>
              <w:top w:val="single" w:sz="6" w:space="0" w:color="000000"/>
              <w:left w:val="single" w:sz="6" w:space="0" w:color="000000"/>
              <w:bottom w:val="double" w:sz="4" w:space="0" w:color="000000"/>
              <w:right w:val="single" w:sz="6" w:space="0" w:color="000000"/>
            </w:tcBorders>
          </w:tcPr>
          <w:p>
            <w:pPr>
              <w:pStyle w:val="Normal"/>
              <w:widowControl w:val="false"/>
              <w:rPr>
                <w:rFonts w:ascii="Arial" w:hAnsi="Arial" w:cs="Arial"/>
              </w:rPr>
            </w:pPr>
            <w:r>
              <w:rPr>
                <w:rFonts w:cs="Arial" w:ascii="Arial" w:hAnsi="Arial"/>
              </w:rPr>
            </w:r>
          </w:p>
        </w:tc>
        <w:tc>
          <w:tcPr>
            <w:tcW w:w="1287" w:type="dxa"/>
            <w:vMerge w:val="continue"/>
            <w:tcBorders>
              <w:top w:val="single" w:sz="6" w:space="0" w:color="000000"/>
              <w:left w:val="single" w:sz="6" w:space="0" w:color="000000"/>
              <w:bottom w:val="double" w:sz="4" w:space="0" w:color="000000"/>
              <w:right w:val="single" w:sz="6" w:space="0" w:color="000000"/>
            </w:tcBorders>
          </w:tcPr>
          <w:p>
            <w:pPr>
              <w:pStyle w:val="Normal"/>
              <w:widowControl w:val="false"/>
              <w:rPr>
                <w:rFonts w:ascii="Arial" w:hAnsi="Arial" w:cs="Arial"/>
              </w:rPr>
            </w:pPr>
            <w:r>
              <w:rPr>
                <w:rFonts w:cs="Arial" w:ascii="Arial" w:hAnsi="Arial"/>
              </w:rPr>
            </w:r>
          </w:p>
        </w:tc>
        <w:tc>
          <w:tcPr>
            <w:tcW w:w="1233" w:type="dxa"/>
            <w:vMerge w:val="continue"/>
            <w:tcBorders>
              <w:top w:val="single" w:sz="6" w:space="0" w:color="000000"/>
              <w:left w:val="single" w:sz="6" w:space="0" w:color="000000"/>
              <w:bottom w:val="double" w:sz="4" w:space="0" w:color="000000"/>
              <w:right w:val="single" w:sz="6" w:space="0" w:color="000000"/>
            </w:tcBorders>
          </w:tcPr>
          <w:p>
            <w:pPr>
              <w:pStyle w:val="Normal"/>
              <w:widowControl w:val="false"/>
              <w:rPr>
                <w:rFonts w:ascii="Arial" w:hAnsi="Arial" w:cs="Arial"/>
              </w:rPr>
            </w:pPr>
            <w:r>
              <w:rPr>
                <w:rFonts w:cs="Arial" w:ascii="Arial" w:hAnsi="Arial"/>
              </w:rPr>
            </w:r>
          </w:p>
        </w:tc>
        <w:tc>
          <w:tcPr>
            <w:tcW w:w="1439" w:type="dxa"/>
            <w:vMerge w:val="continue"/>
            <w:tcBorders>
              <w:top w:val="single" w:sz="6" w:space="0" w:color="000000"/>
              <w:left w:val="single" w:sz="6" w:space="0" w:color="000000"/>
              <w:bottom w:val="double" w:sz="4" w:space="0" w:color="000000"/>
              <w:right w:val="double" w:sz="4" w:space="0" w:color="000000"/>
            </w:tcBorders>
          </w:tcPr>
          <w:p>
            <w:pPr>
              <w:pStyle w:val="Normal"/>
              <w:widowControl w:val="false"/>
              <w:rPr>
                <w:rFonts w:ascii="Arial" w:hAnsi="Arial" w:cs="Arial"/>
              </w:rPr>
            </w:pPr>
            <w:r>
              <w:rPr>
                <w:rFonts w:cs="Arial" w:ascii="Arial" w:hAnsi="Arial"/>
              </w:rPr>
            </w:r>
          </w:p>
        </w:tc>
      </w:tr>
      <w:tr>
        <w:trPr>
          <w:trHeight w:val="285" w:hRule="atLeast"/>
          <w:cantSplit w:val="true"/>
        </w:trPr>
        <w:tc>
          <w:tcPr>
            <w:tcW w:w="810" w:type="dxa"/>
            <w:tcBorders>
              <w:top w:val="single" w:sz="6" w:space="0" w:color="000000"/>
              <w:left w:val="double" w:sz="4" w:space="0" w:color="000000"/>
              <w:bottom w:val="double" w:sz="4" w:space="0" w:color="000000"/>
              <w:right w:val="single" w:sz="6" w:space="0" w:color="000000"/>
            </w:tcBorders>
          </w:tcPr>
          <w:p>
            <w:pPr>
              <w:pStyle w:val="Normal"/>
              <w:widowControl w:val="false"/>
              <w:jc w:val="center"/>
              <w:rPr>
                <w:rFonts w:ascii="Arial" w:hAnsi="Arial" w:cs="Arial"/>
                <w:b/>
                <w:b/>
                <w:bCs/>
                <w:lang w:val="en-GB"/>
              </w:rPr>
            </w:pPr>
            <w:r>
              <w:rPr>
                <w:rFonts w:cs="Arial" w:ascii="Arial" w:hAnsi="Arial"/>
                <w:b/>
                <w:bCs/>
                <w:lang w:val="en-GB"/>
              </w:rPr>
              <w:t>1</w:t>
            </w:r>
          </w:p>
        </w:tc>
        <w:tc>
          <w:tcPr>
            <w:tcW w:w="3060" w:type="dxa"/>
            <w:tcBorders>
              <w:top w:val="single" w:sz="6" w:space="0" w:color="000000"/>
              <w:left w:val="single" w:sz="6" w:space="0" w:color="000000"/>
              <w:bottom w:val="double" w:sz="4" w:space="0" w:color="000000"/>
              <w:right w:val="single" w:sz="6" w:space="0" w:color="000000"/>
            </w:tcBorders>
          </w:tcPr>
          <w:p>
            <w:pPr>
              <w:pStyle w:val="Normal"/>
              <w:widowControl w:val="false"/>
              <w:jc w:val="center"/>
              <w:rPr>
                <w:rFonts w:ascii="Arial" w:hAnsi="Arial" w:cs="Arial"/>
                <w:b/>
                <w:b/>
                <w:bCs/>
                <w:lang w:val="en-GB"/>
              </w:rPr>
            </w:pPr>
            <w:r>
              <w:rPr>
                <w:rFonts w:cs="Arial" w:ascii="Arial" w:hAnsi="Arial"/>
                <w:b/>
                <w:bCs/>
                <w:lang w:val="en-GB"/>
              </w:rPr>
              <w:t>2</w:t>
            </w:r>
          </w:p>
        </w:tc>
        <w:tc>
          <w:tcPr>
            <w:tcW w:w="1170" w:type="dxa"/>
            <w:tcBorders>
              <w:top w:val="single" w:sz="6" w:space="0" w:color="000000"/>
              <w:left w:val="single" w:sz="6" w:space="0" w:color="000000"/>
              <w:bottom w:val="double" w:sz="4" w:space="0" w:color="000000"/>
              <w:right w:val="single" w:sz="6" w:space="0" w:color="000000"/>
            </w:tcBorders>
          </w:tcPr>
          <w:p>
            <w:pPr>
              <w:pStyle w:val="Normal"/>
              <w:widowControl w:val="false"/>
              <w:jc w:val="center"/>
              <w:rPr>
                <w:rFonts w:ascii="Arial" w:hAnsi="Arial" w:cs="Arial"/>
                <w:b/>
                <w:b/>
                <w:bCs/>
                <w:lang w:val="en-GB"/>
              </w:rPr>
            </w:pPr>
            <w:r>
              <w:rPr>
                <w:rFonts w:cs="Arial" w:ascii="Arial" w:hAnsi="Arial"/>
                <w:b/>
                <w:bCs/>
                <w:lang w:val="en-GB"/>
              </w:rPr>
              <w:t>3</w:t>
            </w:r>
          </w:p>
        </w:tc>
        <w:tc>
          <w:tcPr>
            <w:tcW w:w="1287" w:type="dxa"/>
            <w:tcBorders>
              <w:top w:val="single" w:sz="6" w:space="0" w:color="000000"/>
              <w:left w:val="single" w:sz="6" w:space="0" w:color="000000"/>
              <w:bottom w:val="double" w:sz="4" w:space="0" w:color="000000"/>
              <w:right w:val="single" w:sz="6" w:space="0" w:color="000000"/>
            </w:tcBorders>
          </w:tcPr>
          <w:p>
            <w:pPr>
              <w:pStyle w:val="Normal"/>
              <w:widowControl w:val="false"/>
              <w:jc w:val="center"/>
              <w:rPr>
                <w:rFonts w:ascii="Arial" w:hAnsi="Arial" w:cs="Arial"/>
                <w:b/>
                <w:b/>
                <w:bCs/>
                <w:lang w:val="en-GB"/>
              </w:rPr>
            </w:pPr>
            <w:r>
              <w:rPr>
                <w:rFonts w:cs="Arial" w:ascii="Arial" w:hAnsi="Arial"/>
                <w:b/>
                <w:bCs/>
                <w:lang w:val="en-GB"/>
              </w:rPr>
              <w:t>4</w:t>
            </w:r>
          </w:p>
        </w:tc>
        <w:tc>
          <w:tcPr>
            <w:tcW w:w="1233" w:type="dxa"/>
            <w:tcBorders>
              <w:top w:val="single" w:sz="6" w:space="0" w:color="000000"/>
              <w:left w:val="single" w:sz="6" w:space="0" w:color="000000"/>
              <w:bottom w:val="double" w:sz="4" w:space="0" w:color="000000"/>
              <w:right w:val="single" w:sz="6" w:space="0" w:color="000000"/>
            </w:tcBorders>
          </w:tcPr>
          <w:p>
            <w:pPr>
              <w:pStyle w:val="Normal"/>
              <w:widowControl w:val="false"/>
              <w:jc w:val="center"/>
              <w:rPr>
                <w:rFonts w:ascii="Arial" w:hAnsi="Arial" w:cs="Arial"/>
                <w:b/>
                <w:b/>
                <w:bCs/>
                <w:lang w:val="en-GB"/>
              </w:rPr>
            </w:pPr>
            <w:r>
              <w:rPr>
                <w:rFonts w:cs="Arial" w:ascii="Arial" w:hAnsi="Arial"/>
                <w:b/>
                <w:bCs/>
                <w:lang w:val="en-GB"/>
              </w:rPr>
              <w:t>5</w:t>
            </w:r>
          </w:p>
        </w:tc>
        <w:tc>
          <w:tcPr>
            <w:tcW w:w="1439" w:type="dxa"/>
            <w:tcBorders>
              <w:top w:val="single" w:sz="6" w:space="0" w:color="000000"/>
              <w:left w:val="single" w:sz="6" w:space="0" w:color="000000"/>
              <w:bottom w:val="double" w:sz="4" w:space="0" w:color="000000"/>
              <w:right w:val="double" w:sz="4" w:space="0" w:color="000000"/>
            </w:tcBorders>
          </w:tcPr>
          <w:p>
            <w:pPr>
              <w:pStyle w:val="Normal"/>
              <w:widowControl w:val="false"/>
              <w:jc w:val="center"/>
              <w:rPr>
                <w:rFonts w:ascii="Arial" w:hAnsi="Arial" w:cs="Arial"/>
                <w:b/>
                <w:b/>
                <w:bCs/>
                <w:lang w:val="en-GB"/>
              </w:rPr>
            </w:pPr>
            <w:r>
              <w:rPr>
                <w:rFonts w:cs="Arial" w:ascii="Arial" w:hAnsi="Arial"/>
                <w:b/>
                <w:bCs/>
                <w:lang w:val="en-GB"/>
              </w:rPr>
              <w:t>6</w:t>
            </w:r>
          </w:p>
        </w:tc>
      </w:tr>
      <w:tr>
        <w:trPr>
          <w:trHeight w:val="420" w:hRule="atLeast"/>
          <w:cantSplit w:val="true"/>
        </w:trPr>
        <w:tc>
          <w:tcPr>
            <w:tcW w:w="810" w:type="dxa"/>
            <w:tcBorders>
              <w:top w:val="double" w:sz="4" w:space="0" w:color="000000"/>
              <w:left w:val="double" w:sz="4" w:space="0" w:color="000000"/>
              <w:bottom w:val="double" w:sz="4" w:space="0" w:color="000000"/>
              <w:right w:val="single" w:sz="6" w:space="0" w:color="000000"/>
            </w:tcBorders>
          </w:tcPr>
          <w:p>
            <w:pPr>
              <w:pStyle w:val="Normal"/>
              <w:widowControl w:val="false"/>
              <w:jc w:val="center"/>
              <w:rPr>
                <w:rFonts w:ascii="Arial" w:hAnsi="Arial" w:cs="Arial"/>
                <w:b/>
                <w:b/>
                <w:bCs/>
                <w:lang w:val="en-GB"/>
              </w:rPr>
            </w:pPr>
            <w:r>
              <w:rPr>
                <w:rFonts w:cs="Arial" w:ascii="Arial" w:hAnsi="Arial"/>
                <w:b/>
                <w:bCs/>
                <w:lang w:val="en-GB"/>
              </w:rPr>
            </w:r>
          </w:p>
        </w:tc>
        <w:tc>
          <w:tcPr>
            <w:tcW w:w="6750" w:type="dxa"/>
            <w:gridSpan w:val="4"/>
            <w:tcBorders>
              <w:top w:val="double" w:sz="4" w:space="0" w:color="000000"/>
              <w:left w:val="single" w:sz="6" w:space="0" w:color="000000"/>
              <w:bottom w:val="double" w:sz="4" w:space="0" w:color="000000"/>
              <w:right w:val="double" w:sz="4" w:space="0" w:color="000000"/>
            </w:tcBorders>
          </w:tcPr>
          <w:p>
            <w:pPr>
              <w:pStyle w:val="Normal"/>
              <w:widowControl w:val="false"/>
              <w:spacing w:before="120" w:after="0"/>
              <w:rPr>
                <w:rFonts w:ascii="Arial" w:hAnsi="Arial" w:cs="Arial"/>
                <w:lang w:val="en-GB"/>
              </w:rPr>
            </w:pPr>
            <w:r>
              <w:rPr>
                <w:rFonts w:cs="Arial" w:ascii="Arial" w:hAnsi="Arial"/>
                <w:lang w:val="en-GB"/>
              </w:rPr>
              <w:t>Procuring Entity’s Option for delivery terms is:</w:t>
            </w:r>
          </w:p>
        </w:tc>
        <w:tc>
          <w:tcPr>
            <w:tcW w:w="1439" w:type="dxa"/>
            <w:tcBorders>
              <w:top w:val="double" w:sz="4" w:space="0" w:color="000000"/>
              <w:left w:val="double" w:sz="4" w:space="0" w:color="000000"/>
              <w:bottom w:val="double" w:sz="4" w:space="0" w:color="000000"/>
              <w:right w:val="double" w:sz="4" w:space="0" w:color="000000"/>
            </w:tcBorders>
          </w:tcPr>
          <w:p>
            <w:pPr>
              <w:pStyle w:val="Normal"/>
              <w:widowControl w:val="false"/>
              <w:spacing w:before="120" w:after="0"/>
              <w:jc w:val="center"/>
              <w:rPr>
                <w:rFonts w:ascii="Arial" w:hAnsi="Arial" w:cs="Arial"/>
                <w:i/>
                <w:i/>
                <w:iCs/>
                <w:lang w:val="en-GB"/>
              </w:rPr>
            </w:pPr>
            <w:r>
              <w:rPr>
                <w:rFonts w:cs="Arial" w:ascii="Arial" w:hAnsi="Arial"/>
                <w:i/>
                <w:iCs/>
                <w:lang w:val="en-GB"/>
              </w:rPr>
              <w:t>[note 1]</w:t>
            </w:r>
          </w:p>
          <w:p>
            <w:pPr>
              <w:pStyle w:val="Normal"/>
              <w:widowControl w:val="false"/>
              <w:spacing w:before="120" w:after="0"/>
              <w:jc w:val="center"/>
              <w:rPr>
                <w:rFonts w:ascii="Arial" w:hAnsi="Arial" w:cs="Arial"/>
                <w:i/>
                <w:i/>
                <w:iCs/>
                <w:lang w:val="en-GB"/>
              </w:rPr>
            </w:pPr>
            <w:r>
              <w:rPr>
                <w:rFonts w:cs="Arial" w:ascii="Arial" w:hAnsi="Arial"/>
                <w:i/>
                <w:iCs/>
                <w:lang w:val="en-GB"/>
              </w:rPr>
            </w:r>
          </w:p>
        </w:tc>
      </w:tr>
      <w:tr>
        <w:trPr>
          <w:trHeight w:val="285" w:hRule="atLeast"/>
          <w:cantSplit w:val="true"/>
        </w:trPr>
        <w:tc>
          <w:tcPr>
            <w:tcW w:w="8999" w:type="dxa"/>
            <w:gridSpan w:val="6"/>
            <w:tcBorders>
              <w:top w:val="double" w:sz="4" w:space="0" w:color="000000"/>
              <w:left w:val="double" w:sz="4" w:space="0" w:color="000000"/>
              <w:bottom w:val="single" w:sz="6" w:space="0" w:color="000000"/>
              <w:right w:val="double" w:sz="4" w:space="0" w:color="000000"/>
            </w:tcBorders>
          </w:tcPr>
          <w:p>
            <w:pPr>
              <w:pStyle w:val="Normal"/>
              <w:widowControl w:val="false"/>
              <w:spacing w:before="120" w:after="0"/>
              <w:rPr>
                <w:rFonts w:ascii="Arial" w:hAnsi="Arial" w:cs="Arial"/>
                <w:lang w:val="en-GB"/>
              </w:rPr>
            </w:pPr>
            <w:r>
              <w:rPr>
                <w:rFonts w:cs="Arial" w:ascii="Arial" w:hAnsi="Arial"/>
                <w:b/>
                <w:bCs/>
                <w:lang w:val="en-GB"/>
              </w:rPr>
              <w:t xml:space="preserve">Lot No 1: </w:t>
            </w:r>
            <w:r>
              <w:rPr>
                <w:rFonts w:cs="Arial" w:ascii="Arial" w:hAnsi="Arial"/>
                <w:b/>
                <w:bCs/>
                <w:i/>
                <w:iCs/>
                <w:lang w:val="en-GB"/>
              </w:rPr>
              <w:t>[enter description]</w:t>
            </w:r>
          </w:p>
        </w:tc>
      </w:tr>
      <w:tr>
        <w:trPr>
          <w:trHeight w:val="285" w:hRule="atLeast"/>
          <w:cantSplit w:val="true"/>
        </w:trPr>
        <w:tc>
          <w:tcPr>
            <w:tcW w:w="810" w:type="dxa"/>
            <w:tcBorders>
              <w:top w:val="single" w:sz="6" w:space="0" w:color="000000"/>
              <w:left w:val="double" w:sz="4" w:space="0" w:color="000000"/>
              <w:bottom w:val="single" w:sz="6" w:space="0" w:color="000000"/>
              <w:right w:val="single" w:sz="6" w:space="0" w:color="000000"/>
            </w:tcBorders>
          </w:tcPr>
          <w:p>
            <w:pPr>
              <w:pStyle w:val="Normal"/>
              <w:widowControl w:val="false"/>
              <w:spacing w:before="120" w:after="0"/>
              <w:jc w:val="center"/>
              <w:rPr>
                <w:rFonts w:ascii="Arial" w:hAnsi="Arial" w:cs="Arial"/>
                <w:lang w:val="en-GB"/>
              </w:rPr>
            </w:pPr>
            <w:r>
              <w:rPr>
                <w:rFonts w:cs="Arial" w:ascii="Arial" w:hAnsi="Arial"/>
                <w:lang w:val="en-GB"/>
              </w:rPr>
            </w:r>
          </w:p>
        </w:tc>
        <w:tc>
          <w:tcPr>
            <w:tcW w:w="306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i/>
                <w:i/>
                <w:iCs/>
                <w:sz w:val="16"/>
                <w:szCs w:val="16"/>
                <w:lang w:val="en-GB"/>
              </w:rPr>
            </w:pPr>
            <w:r>
              <w:rPr>
                <w:rFonts w:cs="Arial" w:ascii="Arial" w:hAnsi="Arial"/>
                <w:i/>
                <w:iCs/>
                <w:sz w:val="16"/>
                <w:szCs w:val="16"/>
                <w:lang w:val="en-GB"/>
              </w:rPr>
              <w:t>[add as many rows and details as there are individual items in the Lot]</w:t>
            </w:r>
          </w:p>
        </w:tc>
        <w:tc>
          <w:tcPr>
            <w:tcW w:w="1170"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0"/>
              <w:jc w:val="center"/>
              <w:rPr>
                <w:rFonts w:ascii="Arial" w:hAnsi="Arial" w:cs="Arial"/>
                <w:i/>
                <w:i/>
                <w:iCs/>
                <w:lang w:val="en-GB"/>
              </w:rPr>
            </w:pPr>
            <w:r>
              <w:rPr>
                <w:rFonts w:cs="Arial" w:ascii="Arial" w:hAnsi="Arial"/>
                <w:i/>
                <w:iCs/>
                <w:lang w:val="en-GB"/>
              </w:rPr>
              <w:t>[note 2]</w:t>
            </w:r>
          </w:p>
        </w:tc>
        <w:tc>
          <w:tcPr>
            <w:tcW w:w="1287"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0"/>
              <w:jc w:val="center"/>
              <w:rPr>
                <w:rFonts w:ascii="Arial" w:hAnsi="Arial" w:cs="Arial"/>
                <w:i/>
                <w:i/>
                <w:iCs/>
                <w:lang w:val="en-GB"/>
              </w:rPr>
            </w:pPr>
            <w:r>
              <w:rPr>
                <w:rFonts w:cs="Arial" w:ascii="Arial" w:hAnsi="Arial"/>
                <w:i/>
                <w:iCs/>
                <w:lang w:val="en-GB"/>
              </w:rPr>
              <w:t>[note 2]</w:t>
            </w:r>
          </w:p>
        </w:tc>
        <w:tc>
          <w:tcPr>
            <w:tcW w:w="123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0"/>
              <w:jc w:val="center"/>
              <w:rPr>
                <w:rFonts w:ascii="Arial" w:hAnsi="Arial" w:cs="Arial"/>
                <w:lang w:val="en-GB"/>
              </w:rPr>
            </w:pPr>
            <w:r>
              <w:rPr>
                <w:rFonts w:cs="Arial" w:ascii="Arial" w:hAnsi="Arial"/>
                <w:lang w:val="en-GB"/>
              </w:rPr>
            </w:r>
          </w:p>
        </w:tc>
        <w:tc>
          <w:tcPr>
            <w:tcW w:w="1439" w:type="dxa"/>
            <w:tcBorders>
              <w:top w:val="single" w:sz="6" w:space="0" w:color="000000"/>
              <w:left w:val="single" w:sz="6" w:space="0" w:color="000000"/>
              <w:bottom w:val="single" w:sz="6" w:space="0" w:color="000000"/>
              <w:right w:val="double" w:sz="4" w:space="0" w:color="000000"/>
            </w:tcBorders>
          </w:tcPr>
          <w:p>
            <w:pPr>
              <w:pStyle w:val="Normal"/>
              <w:widowControl w:val="false"/>
              <w:spacing w:before="120" w:after="0"/>
              <w:jc w:val="center"/>
              <w:rPr>
                <w:rFonts w:ascii="Arial" w:hAnsi="Arial" w:cs="Arial"/>
                <w:lang w:val="en-GB"/>
              </w:rPr>
            </w:pPr>
            <w:r>
              <w:rPr>
                <w:rFonts w:cs="Arial" w:ascii="Arial" w:hAnsi="Arial"/>
                <w:lang w:val="en-GB"/>
              </w:rPr>
            </w:r>
          </w:p>
        </w:tc>
      </w:tr>
      <w:tr>
        <w:trPr>
          <w:trHeight w:val="285" w:hRule="atLeast"/>
          <w:cantSplit w:val="true"/>
        </w:trPr>
        <w:tc>
          <w:tcPr>
            <w:tcW w:w="8999" w:type="dxa"/>
            <w:gridSpan w:val="6"/>
            <w:tcBorders>
              <w:top w:val="single" w:sz="6" w:space="0" w:color="000000"/>
              <w:left w:val="double" w:sz="4" w:space="0" w:color="000000"/>
              <w:bottom w:val="single" w:sz="6" w:space="0" w:color="000000"/>
              <w:right w:val="double" w:sz="4" w:space="0" w:color="000000"/>
            </w:tcBorders>
          </w:tcPr>
          <w:p>
            <w:pPr>
              <w:pStyle w:val="Normal"/>
              <w:widowControl w:val="false"/>
              <w:spacing w:before="120" w:after="0"/>
              <w:rPr>
                <w:rFonts w:ascii="Arial" w:hAnsi="Arial" w:cs="Arial"/>
                <w:lang w:val="en-GB"/>
              </w:rPr>
            </w:pPr>
            <w:r>
              <w:rPr>
                <w:rFonts w:cs="Arial" w:ascii="Arial" w:hAnsi="Arial"/>
                <w:b/>
                <w:bCs/>
                <w:lang w:val="en-GB"/>
              </w:rPr>
              <w:t xml:space="preserve">Lot No 2: </w:t>
            </w:r>
            <w:r>
              <w:rPr>
                <w:rFonts w:cs="Arial" w:ascii="Arial" w:hAnsi="Arial"/>
                <w:b/>
                <w:bCs/>
                <w:i/>
                <w:iCs/>
                <w:lang w:val="en-GB"/>
              </w:rPr>
              <w:t>[enter description]</w:t>
            </w:r>
          </w:p>
        </w:tc>
      </w:tr>
      <w:tr>
        <w:trPr>
          <w:trHeight w:val="285" w:hRule="atLeast"/>
          <w:cantSplit w:val="true"/>
        </w:trPr>
        <w:tc>
          <w:tcPr>
            <w:tcW w:w="810" w:type="dxa"/>
            <w:tcBorders>
              <w:top w:val="single" w:sz="6" w:space="0" w:color="000000"/>
              <w:left w:val="double" w:sz="4" w:space="0" w:color="000000"/>
              <w:bottom w:val="single" w:sz="6" w:space="0" w:color="000000"/>
              <w:right w:val="single" w:sz="6" w:space="0" w:color="000000"/>
            </w:tcBorders>
          </w:tcPr>
          <w:p>
            <w:pPr>
              <w:pStyle w:val="Normal"/>
              <w:widowControl w:val="false"/>
              <w:spacing w:before="120" w:after="0"/>
              <w:jc w:val="center"/>
              <w:rPr>
                <w:rFonts w:ascii="Arial" w:hAnsi="Arial" w:cs="Arial"/>
                <w:lang w:val="en-GB"/>
              </w:rPr>
            </w:pPr>
            <w:r>
              <w:rPr>
                <w:rFonts w:cs="Arial" w:ascii="Arial" w:hAnsi="Arial"/>
                <w:lang w:val="en-GB"/>
              </w:rPr>
            </w:r>
          </w:p>
        </w:tc>
        <w:tc>
          <w:tcPr>
            <w:tcW w:w="306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napToGrid w:val="false"/>
              <w:rPr>
                <w:rFonts w:ascii="Arial" w:hAnsi="Arial" w:cs="Arial"/>
                <w:i/>
                <w:i/>
                <w:iCs/>
                <w:sz w:val="16"/>
                <w:szCs w:val="16"/>
                <w:lang w:val="en-GB"/>
              </w:rPr>
            </w:pPr>
            <w:r>
              <w:rPr>
                <w:rFonts w:cs="Arial" w:ascii="Arial" w:hAnsi="Arial"/>
                <w:i/>
                <w:iCs/>
                <w:sz w:val="16"/>
                <w:szCs w:val="16"/>
                <w:lang w:val="en-GB"/>
              </w:rPr>
              <w:t>[add as many rows and details as there are individual items in the Lot]</w:t>
            </w:r>
          </w:p>
        </w:tc>
        <w:tc>
          <w:tcPr>
            <w:tcW w:w="1170"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0"/>
              <w:jc w:val="center"/>
              <w:rPr>
                <w:rFonts w:ascii="Arial" w:hAnsi="Arial" w:cs="Arial"/>
                <w:lang w:val="en-GB"/>
              </w:rPr>
            </w:pPr>
            <w:r>
              <w:rPr>
                <w:rFonts w:cs="Arial" w:ascii="Arial" w:hAnsi="Arial"/>
                <w:lang w:val="en-GB"/>
              </w:rPr>
            </w:r>
          </w:p>
        </w:tc>
        <w:tc>
          <w:tcPr>
            <w:tcW w:w="1287"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0"/>
              <w:jc w:val="center"/>
              <w:rPr>
                <w:rFonts w:ascii="Arial" w:hAnsi="Arial" w:cs="Arial"/>
                <w:lang w:val="en-GB"/>
              </w:rPr>
            </w:pPr>
            <w:r>
              <w:rPr>
                <w:rFonts w:cs="Arial" w:ascii="Arial" w:hAnsi="Arial"/>
                <w:lang w:val="en-GB"/>
              </w:rPr>
            </w:r>
          </w:p>
        </w:tc>
        <w:tc>
          <w:tcPr>
            <w:tcW w:w="123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120" w:after="0"/>
              <w:jc w:val="center"/>
              <w:rPr>
                <w:rFonts w:ascii="Arial" w:hAnsi="Arial" w:cs="Arial"/>
                <w:lang w:val="en-GB"/>
              </w:rPr>
            </w:pPr>
            <w:r>
              <w:rPr>
                <w:rFonts w:cs="Arial" w:ascii="Arial" w:hAnsi="Arial"/>
                <w:lang w:val="en-GB"/>
              </w:rPr>
            </w:r>
          </w:p>
        </w:tc>
        <w:tc>
          <w:tcPr>
            <w:tcW w:w="1439" w:type="dxa"/>
            <w:tcBorders>
              <w:top w:val="single" w:sz="6" w:space="0" w:color="000000"/>
              <w:left w:val="single" w:sz="6" w:space="0" w:color="000000"/>
              <w:bottom w:val="single" w:sz="6" w:space="0" w:color="000000"/>
              <w:right w:val="double" w:sz="4" w:space="0" w:color="000000"/>
            </w:tcBorders>
          </w:tcPr>
          <w:p>
            <w:pPr>
              <w:pStyle w:val="Normal"/>
              <w:widowControl w:val="false"/>
              <w:spacing w:before="120" w:after="0"/>
              <w:jc w:val="center"/>
              <w:rPr>
                <w:rFonts w:ascii="Arial" w:hAnsi="Arial" w:cs="Arial"/>
                <w:lang w:val="en-GB"/>
              </w:rPr>
            </w:pPr>
            <w:r>
              <w:rPr>
                <w:rFonts w:cs="Arial" w:ascii="Arial" w:hAnsi="Arial"/>
                <w:lang w:val="en-GB"/>
              </w:rPr>
            </w:r>
          </w:p>
        </w:tc>
      </w:tr>
    </w:tbl>
    <w:p>
      <w:pPr>
        <w:pStyle w:val="Normal"/>
        <w:jc w:val="both"/>
        <w:rPr>
          <w:rFonts w:ascii="Arial" w:hAnsi="Arial" w:cs="Arial"/>
          <w:sz w:val="22"/>
          <w:szCs w:val="22"/>
          <w:lang w:val="en-GB"/>
        </w:rPr>
      </w:pPr>
      <w:r>
        <w:rPr>
          <w:rFonts w:cs="Arial" w:ascii="Arial" w:hAnsi="Arial"/>
          <w:sz w:val="22"/>
          <w:szCs w:val="22"/>
          <w:lang w:val="en-GB"/>
        </w:rPr>
      </w:r>
    </w:p>
    <w:p>
      <w:pPr>
        <w:pStyle w:val="Normal"/>
        <w:jc w:val="both"/>
        <w:rPr>
          <w:rFonts w:ascii="Arial" w:hAnsi="Arial" w:cs="Arial"/>
          <w:sz w:val="22"/>
          <w:lang w:val="en-GB"/>
        </w:rPr>
      </w:pPr>
      <w:r>
        <w:rPr>
          <w:rFonts w:cs="Arial" w:ascii="Arial" w:hAnsi="Arial"/>
          <w:sz w:val="22"/>
          <w:szCs w:val="22"/>
          <w:lang w:val="en-GB"/>
        </w:rPr>
        <w:t>Note 1:Delivery period starts from the date of contract signing</w:t>
      </w:r>
    </w:p>
    <w:p>
      <w:pPr>
        <w:pStyle w:val="Normal"/>
        <w:jc w:val="both"/>
        <w:rPr>
          <w:rFonts w:ascii="Arial" w:hAnsi="Arial" w:cs="Arial"/>
          <w:sz w:val="22"/>
          <w:lang w:val="en-GB"/>
        </w:rPr>
      </w:pPr>
      <w:r>
        <w:rPr>
          <w:rFonts w:cs="Arial" w:ascii="Arial" w:hAnsi="Arial"/>
          <w:sz w:val="22"/>
          <w:lang w:val="en-GB"/>
        </w:rPr>
      </w:r>
    </w:p>
    <w:p>
      <w:pPr>
        <w:pStyle w:val="Normal"/>
        <w:jc w:val="both"/>
        <w:rPr>
          <w:rFonts w:ascii="Arial" w:hAnsi="Arial" w:cs="Arial"/>
          <w:sz w:val="22"/>
          <w:szCs w:val="22"/>
          <w:lang w:val="en-GB"/>
        </w:rPr>
      </w:pPr>
      <w:r>
        <w:rPr>
          <w:rFonts w:cs="Arial" w:ascii="Arial" w:hAnsi="Arial"/>
          <w:sz w:val="22"/>
          <w:szCs w:val="22"/>
          <w:lang w:val="en-GB"/>
        </w:rPr>
        <w:t>Note 2: The Procuring Entity must decide whether there is a separate unit of supply and quantity of units, otherwise may specify ONE (1) in both columns or LUMP SUM in Column 4</w:t>
      </w:r>
      <w:r>
        <w:br w:type="page"/>
      </w:r>
    </w:p>
    <w:p>
      <w:pPr>
        <w:pStyle w:val="Heading1"/>
        <w:rPr>
          <w:rFonts w:ascii="Arial" w:hAnsi="Arial" w:cs="Arial"/>
          <w:sz w:val="32"/>
          <w:lang w:val="fr-FR"/>
        </w:rPr>
      </w:pPr>
      <w:bookmarkStart w:id="818" w:name="_Toc421454338"/>
      <w:r>
        <w:rPr>
          <w:rFonts w:cs="Arial" w:ascii="Arial" w:hAnsi="Arial"/>
          <w:sz w:val="32"/>
          <w:lang w:val="fr-FR"/>
        </w:rPr>
        <w:t>Section 7.Technical Specifications</w:t>
      </w:r>
      <w:bookmarkEnd w:id="818"/>
    </w:p>
    <w:p>
      <w:pPr>
        <w:pStyle w:val="Normal"/>
        <w:rPr>
          <w:rFonts w:ascii="Arial" w:hAnsi="Arial" w:cs="Arial"/>
          <w:lang w:val="en-GB"/>
        </w:rPr>
      </w:pPr>
      <w:r>
        <w:rPr>
          <w:rFonts w:cs="Arial" w:ascii="Arial" w:hAnsi="Arial"/>
          <w:lang w:val="en-GB"/>
        </w:rPr>
      </w:r>
    </w:p>
    <w:p>
      <w:pPr>
        <w:pStyle w:val="Outline"/>
        <w:spacing w:before="0" w:after="0"/>
        <w:rPr>
          <w:rFonts w:ascii="Arial" w:hAnsi="Arial" w:cs="Arial"/>
          <w:kern w:val="0"/>
          <w:sz w:val="22"/>
          <w:szCs w:val="22"/>
          <w:lang w:val="en-GB"/>
        </w:rPr>
      </w:pPr>
      <w:r>
        <w:rPr>
          <w:rFonts w:cs="Arial" w:ascii="Arial" w:hAnsi="Arial"/>
          <w:kern w:val="0"/>
          <w:sz w:val="22"/>
          <w:szCs w:val="22"/>
          <w:lang w:val="en-GB"/>
        </w:rPr>
        <w:t>The Goods and Related Services shall comply with following Technical Specifications:</w:t>
      </w:r>
    </w:p>
    <w:p>
      <w:pPr>
        <w:pStyle w:val="Outline"/>
        <w:spacing w:before="0" w:after="0"/>
        <w:rPr>
          <w:rFonts w:ascii="Arial" w:hAnsi="Arial" w:cs="Arial"/>
          <w:kern w:val="0"/>
          <w:sz w:val="22"/>
          <w:szCs w:val="22"/>
          <w:lang w:val="en-GB"/>
        </w:rPr>
      </w:pPr>
      <w:r>
        <w:rPr>
          <w:rFonts w:cs="Arial" w:ascii="Arial" w:hAnsi="Arial"/>
          <w:kern w:val="0"/>
          <w:sz w:val="22"/>
          <w:szCs w:val="22"/>
          <w:lang w:val="en-GB"/>
        </w:rPr>
      </w:r>
    </w:p>
    <w:tbl>
      <w:tblPr>
        <w:tblW w:w="9360" w:type="dxa"/>
        <w:jc w:val="left"/>
        <w:tblInd w:w="109" w:type="dxa"/>
        <w:tblLayout w:type="fixed"/>
        <w:tblCellMar>
          <w:top w:w="0" w:type="dxa"/>
          <w:left w:w="108" w:type="dxa"/>
          <w:bottom w:w="0" w:type="dxa"/>
          <w:right w:w="108" w:type="dxa"/>
        </w:tblCellMar>
        <w:tblLook w:val="0000" w:noHBand="0" w:noVBand="0" w:firstColumn="0" w:lastRow="0" w:lastColumn="0" w:firstRow="0"/>
      </w:tblPr>
      <w:tblGrid>
        <w:gridCol w:w="718"/>
        <w:gridCol w:w="90"/>
        <w:gridCol w:w="2160"/>
        <w:gridCol w:w="766"/>
        <w:gridCol w:w="45"/>
        <w:gridCol w:w="5580"/>
      </w:tblGrid>
      <w:tr>
        <w:trPr>
          <w:trHeight w:val="61" w:hRule="atLeast"/>
          <w:cantSplit w:val="true"/>
        </w:trPr>
        <w:tc>
          <w:tcPr>
            <w:tcW w:w="808" w:type="dxa"/>
            <w:gridSpan w:val="2"/>
            <w:tcBorders>
              <w:top w:val="double" w:sz="4" w:space="0" w:color="000000"/>
              <w:left w:val="double" w:sz="4" w:space="0" w:color="000000"/>
              <w:bottom w:val="double" w:sz="4" w:space="0" w:color="000000"/>
              <w:right w:val="single" w:sz="6" w:space="0" w:color="000000"/>
            </w:tcBorders>
          </w:tcPr>
          <w:p>
            <w:pPr>
              <w:pStyle w:val="Normal"/>
              <w:widowControl w:val="false"/>
              <w:spacing w:before="120" w:after="120"/>
              <w:jc w:val="center"/>
              <w:rPr>
                <w:rFonts w:ascii="Arial" w:hAnsi="Arial" w:cs="Arial"/>
                <w:b/>
                <w:b/>
                <w:lang w:val="en-GB"/>
              </w:rPr>
            </w:pPr>
            <w:r>
              <w:rPr>
                <w:rFonts w:cs="Arial" w:ascii="Arial" w:hAnsi="Arial"/>
                <w:b/>
                <w:lang w:val="en-GB"/>
              </w:rPr>
              <w:t>Item No</w:t>
            </w:r>
          </w:p>
        </w:tc>
        <w:tc>
          <w:tcPr>
            <w:tcW w:w="2160" w:type="dxa"/>
            <w:tcBorders>
              <w:top w:val="double" w:sz="4" w:space="0" w:color="000000"/>
              <w:left w:val="single" w:sz="6" w:space="0" w:color="000000"/>
              <w:bottom w:val="double" w:sz="4" w:space="0" w:color="000000"/>
              <w:right w:val="single" w:sz="6" w:space="0" w:color="000000"/>
            </w:tcBorders>
          </w:tcPr>
          <w:p>
            <w:pPr>
              <w:pStyle w:val="Normal"/>
              <w:widowControl w:val="false"/>
              <w:spacing w:before="120" w:after="120"/>
              <w:jc w:val="center"/>
              <w:rPr>
                <w:rFonts w:ascii="Arial" w:hAnsi="Arial" w:cs="Arial"/>
                <w:b/>
                <w:b/>
                <w:lang w:val="en-GB"/>
              </w:rPr>
            </w:pPr>
            <w:r>
              <w:rPr>
                <w:rFonts w:cs="Arial" w:ascii="Arial" w:hAnsi="Arial"/>
                <w:b/>
                <w:lang w:val="en-GB"/>
              </w:rPr>
              <w:t>Name of Item or Related Service</w:t>
            </w:r>
          </w:p>
        </w:tc>
        <w:tc>
          <w:tcPr>
            <w:tcW w:w="766" w:type="dxa"/>
            <w:tcBorders>
              <w:top w:val="double" w:sz="4" w:space="0" w:color="000000"/>
              <w:left w:val="single" w:sz="6" w:space="0" w:color="000000"/>
              <w:bottom w:val="double" w:sz="4" w:space="0" w:color="000000"/>
              <w:right w:val="single" w:sz="4" w:space="0" w:color="000000"/>
            </w:tcBorders>
          </w:tcPr>
          <w:p>
            <w:pPr>
              <w:pStyle w:val="Normal"/>
              <w:widowControl w:val="false"/>
              <w:spacing w:before="120" w:after="120"/>
              <w:jc w:val="center"/>
              <w:rPr>
                <w:rFonts w:ascii="Arial" w:hAnsi="Arial" w:cs="Arial"/>
                <w:b/>
                <w:b/>
                <w:lang w:val="en-GB"/>
              </w:rPr>
            </w:pPr>
            <w:r>
              <w:rPr>
                <w:rFonts w:cs="Arial" w:ascii="Arial" w:hAnsi="Arial"/>
                <w:b/>
                <w:lang w:val="en-GB"/>
              </w:rPr>
              <w:t>quantity</w:t>
            </w:r>
          </w:p>
        </w:tc>
        <w:tc>
          <w:tcPr>
            <w:tcW w:w="5625" w:type="dxa"/>
            <w:gridSpan w:val="2"/>
            <w:tcBorders>
              <w:top w:val="double" w:sz="4" w:space="0" w:color="000000"/>
              <w:left w:val="single" w:sz="4" w:space="0" w:color="000000"/>
              <w:bottom w:val="double" w:sz="4" w:space="0" w:color="000000"/>
              <w:right w:val="double" w:sz="4" w:space="0" w:color="000000"/>
            </w:tcBorders>
          </w:tcPr>
          <w:p>
            <w:pPr>
              <w:pStyle w:val="Normal"/>
              <w:widowControl w:val="false"/>
              <w:spacing w:before="120" w:after="120"/>
              <w:jc w:val="center"/>
              <w:rPr>
                <w:rFonts w:ascii="Arial" w:hAnsi="Arial" w:cs="Arial"/>
                <w:b/>
                <w:b/>
                <w:lang w:val="en-GB"/>
              </w:rPr>
            </w:pPr>
            <w:r>
              <w:rPr>
                <w:rFonts w:cs="Arial" w:ascii="Arial" w:hAnsi="Arial"/>
                <w:b/>
                <w:lang w:val="en-GB"/>
              </w:rPr>
              <w:t>Technical Specification and Standards</w:t>
            </w:r>
          </w:p>
        </w:tc>
      </w:tr>
      <w:tr>
        <w:trPr>
          <w:trHeight w:val="61" w:hRule="atLeast"/>
          <w:cantSplit w:val="true"/>
        </w:trPr>
        <w:tc>
          <w:tcPr>
            <w:tcW w:w="808" w:type="dxa"/>
            <w:gridSpan w:val="2"/>
            <w:tcBorders>
              <w:top w:val="double" w:sz="4" w:space="0" w:color="000000"/>
              <w:left w:val="double" w:sz="4" w:space="0" w:color="000000"/>
              <w:bottom w:val="double" w:sz="4" w:space="0" w:color="000000"/>
              <w:right w:val="single" w:sz="6" w:space="0" w:color="000000"/>
            </w:tcBorders>
          </w:tcPr>
          <w:p>
            <w:pPr>
              <w:pStyle w:val="Normal"/>
              <w:widowControl w:val="false"/>
              <w:spacing w:before="120" w:after="120"/>
              <w:jc w:val="center"/>
              <w:rPr>
                <w:rFonts w:ascii="Arial" w:hAnsi="Arial" w:cs="Arial"/>
                <w:b/>
                <w:b/>
                <w:lang w:val="en-GB"/>
              </w:rPr>
            </w:pPr>
            <w:r>
              <w:rPr>
                <w:rFonts w:cs="Arial" w:ascii="Arial" w:hAnsi="Arial"/>
                <w:b/>
                <w:lang w:val="en-GB"/>
              </w:rPr>
              <w:t>1</w:t>
            </w:r>
          </w:p>
        </w:tc>
        <w:tc>
          <w:tcPr>
            <w:tcW w:w="2160" w:type="dxa"/>
            <w:tcBorders>
              <w:top w:val="double" w:sz="4" w:space="0" w:color="000000"/>
              <w:left w:val="single" w:sz="6" w:space="0" w:color="000000"/>
              <w:bottom w:val="double" w:sz="4" w:space="0" w:color="000000"/>
              <w:right w:val="single" w:sz="6" w:space="0" w:color="000000"/>
            </w:tcBorders>
          </w:tcPr>
          <w:p>
            <w:pPr>
              <w:pStyle w:val="Normal"/>
              <w:widowControl w:val="false"/>
              <w:spacing w:before="120" w:after="120"/>
              <w:jc w:val="center"/>
              <w:rPr>
                <w:rFonts w:ascii="Arial" w:hAnsi="Arial" w:cs="Arial"/>
                <w:b/>
                <w:b/>
                <w:lang w:val="en-GB"/>
              </w:rPr>
            </w:pPr>
            <w:r>
              <w:rPr>
                <w:rFonts w:cs="Arial" w:ascii="Arial" w:hAnsi="Arial"/>
                <w:b/>
                <w:lang w:val="en-GB"/>
              </w:rPr>
              <w:t>2</w:t>
            </w:r>
          </w:p>
        </w:tc>
        <w:tc>
          <w:tcPr>
            <w:tcW w:w="766" w:type="dxa"/>
            <w:tcBorders>
              <w:top w:val="double" w:sz="4" w:space="0" w:color="000000"/>
              <w:left w:val="single" w:sz="6" w:space="0" w:color="000000"/>
              <w:bottom w:val="double" w:sz="4" w:space="0" w:color="000000"/>
              <w:right w:val="single" w:sz="4" w:space="0" w:color="000000"/>
            </w:tcBorders>
          </w:tcPr>
          <w:p>
            <w:pPr>
              <w:pStyle w:val="Normal"/>
              <w:widowControl w:val="false"/>
              <w:spacing w:before="120" w:after="120"/>
              <w:jc w:val="center"/>
              <w:rPr>
                <w:rFonts w:ascii="Arial" w:hAnsi="Arial" w:cs="Arial"/>
                <w:b/>
                <w:b/>
                <w:lang w:val="en-GB"/>
              </w:rPr>
            </w:pPr>
            <w:r>
              <w:rPr>
                <w:rFonts w:cs="Arial" w:ascii="Arial" w:hAnsi="Arial"/>
                <w:b/>
                <w:lang w:val="en-GB"/>
              </w:rPr>
              <w:t>3</w:t>
            </w:r>
          </w:p>
        </w:tc>
        <w:tc>
          <w:tcPr>
            <w:tcW w:w="5625" w:type="dxa"/>
            <w:gridSpan w:val="2"/>
            <w:tcBorders>
              <w:top w:val="double" w:sz="4" w:space="0" w:color="000000"/>
              <w:left w:val="single" w:sz="4" w:space="0" w:color="000000"/>
              <w:bottom w:val="double" w:sz="4" w:space="0" w:color="000000"/>
              <w:right w:val="double" w:sz="4" w:space="0" w:color="000000"/>
            </w:tcBorders>
          </w:tcPr>
          <w:p>
            <w:pPr>
              <w:pStyle w:val="Normal"/>
              <w:widowControl w:val="false"/>
              <w:spacing w:before="120" w:after="120"/>
              <w:jc w:val="center"/>
              <w:rPr>
                <w:rFonts w:ascii="Arial" w:hAnsi="Arial" w:cs="Arial"/>
                <w:b/>
                <w:b/>
                <w:lang w:val="en-GB"/>
              </w:rPr>
            </w:pPr>
            <w:r>
              <w:rPr>
                <w:rFonts w:cs="Arial" w:ascii="Arial" w:hAnsi="Arial"/>
                <w:b/>
                <w:lang w:val="en-GB"/>
              </w:rPr>
              <w:t>4</w:t>
            </w:r>
          </w:p>
        </w:tc>
      </w:tr>
      <w:tr>
        <w:trPr>
          <w:trHeight w:val="61" w:hRule="atLeast"/>
          <w:cantSplit w:val="true"/>
        </w:trPr>
        <w:tc>
          <w:tcPr>
            <w:tcW w:w="9359" w:type="dxa"/>
            <w:gridSpan w:val="6"/>
            <w:tcBorders>
              <w:top w:val="double" w:sz="4" w:space="0" w:color="000000"/>
              <w:left w:val="double" w:sz="4" w:space="0" w:color="000000"/>
              <w:bottom w:val="double" w:sz="4" w:space="0" w:color="000000"/>
              <w:right w:val="double" w:sz="4" w:space="0" w:color="000000"/>
            </w:tcBorders>
          </w:tcPr>
          <w:p>
            <w:pPr>
              <w:pStyle w:val="Normal"/>
              <w:widowControl w:val="false"/>
              <w:spacing w:before="120" w:after="0"/>
              <w:jc w:val="left"/>
              <w:rPr>
                <w:rFonts w:ascii="Arial" w:hAnsi="Arial" w:cs="Arial"/>
                <w:lang w:val="en-GB"/>
              </w:rPr>
            </w:pPr>
            <w:r>
              <w:rPr>
                <w:rFonts w:cs="Arial" w:ascii="Arial" w:hAnsi="Arial"/>
                <w:b/>
                <w:bCs/>
                <w:lang w:val="en-GB"/>
              </w:rPr>
              <w:t xml:space="preserve">Lot No </w:t>
            </w:r>
            <w:r>
              <w:rPr>
                <w:rFonts w:cs="Arial" w:ascii="Arial" w:hAnsi="Arial"/>
                <w:b/>
                <w:bCs/>
                <w:lang w:val="en-GB"/>
              </w:rPr>
              <w:t>1</w:t>
            </w:r>
            <w:r>
              <w:rPr>
                <w:rFonts w:cs="Arial" w:ascii="Arial" w:hAnsi="Arial"/>
                <w:b/>
                <w:bCs/>
                <w:lang w:val="en-GB"/>
              </w:rPr>
              <w:t xml:space="preserve">: </w:t>
            </w:r>
            <w:r>
              <w:rPr>
                <w:rFonts w:cs="Arial" w:ascii="Arial" w:hAnsi="Arial"/>
                <w:b/>
                <w:bCs/>
                <w:sz w:val="22"/>
                <w:szCs w:val="32"/>
                <w:lang w:val="en-GB"/>
              </w:rPr>
              <w:t xml:space="preserve"> PVC/PET ID card printer with laminator &amp; Encoder, Registered lamination film (Hologram Patch Roll), Color Ribbon, Cleaning Kit</w:t>
            </w:r>
          </w:p>
        </w:tc>
      </w:tr>
      <w:tr>
        <w:trPr>
          <w:trHeight w:val="61" w:hRule="atLeast"/>
          <w:cantSplit w:val="true"/>
        </w:trPr>
        <w:tc>
          <w:tcPr>
            <w:tcW w:w="808" w:type="dxa"/>
            <w:gridSpan w:val="2"/>
            <w:tcBorders>
              <w:left w:val="double" w:sz="4" w:space="0" w:color="000000"/>
              <w:bottom w:val="double" w:sz="4" w:space="0" w:color="000000"/>
              <w:right w:val="single" w:sz="6" w:space="0" w:color="000000"/>
            </w:tcBorders>
            <w:vAlign w:val="center"/>
          </w:tcPr>
          <w:p>
            <w:pPr>
              <w:pStyle w:val="Normal"/>
              <w:widowControl w:val="false"/>
              <w:spacing w:before="120" w:after="120"/>
              <w:jc w:val="center"/>
              <w:rPr>
                <w:rFonts w:ascii="Arial" w:hAnsi="Arial" w:cs="Arial"/>
                <w:b/>
                <w:b/>
                <w:lang w:val="en-GB"/>
              </w:rPr>
            </w:pPr>
            <w:r>
              <w:rPr>
                <w:rFonts w:cs="Arial" w:ascii="Arial" w:hAnsi="Arial"/>
                <w:b/>
                <w:lang w:val="en-GB"/>
              </w:rPr>
              <w:t>01</w:t>
            </w:r>
          </w:p>
        </w:tc>
        <w:tc>
          <w:tcPr>
            <w:tcW w:w="2160" w:type="dxa"/>
            <w:tcBorders>
              <w:left w:val="single" w:sz="6" w:space="0" w:color="000000"/>
              <w:bottom w:val="double" w:sz="4" w:space="0" w:color="000000"/>
              <w:right w:val="single" w:sz="6" w:space="0" w:color="000000"/>
            </w:tcBorders>
            <w:vAlign w:val="center"/>
          </w:tcPr>
          <w:p>
            <w:pPr>
              <w:pStyle w:val="Normal"/>
              <w:widowControl w:val="false"/>
              <w:suppressAutoHyphens w:val="true"/>
              <w:snapToGrid w:val="false"/>
              <w:rPr>
                <w:sz w:val="22"/>
                <w:szCs w:val="22"/>
                <w:lang w:val="en-GB"/>
              </w:rPr>
            </w:pPr>
            <w:r>
              <w:rPr>
                <w:sz w:val="22"/>
                <w:szCs w:val="22"/>
                <w:lang w:val="en-GB"/>
              </w:rPr>
              <w:t>PVC/PET ID CARD Printer with Laminator &amp; Encoder</w:t>
            </w:r>
          </w:p>
        </w:tc>
        <w:tc>
          <w:tcPr>
            <w:tcW w:w="766" w:type="dxa"/>
            <w:tcBorders>
              <w:left w:val="single" w:sz="6" w:space="0" w:color="000000"/>
              <w:bottom w:val="double" w:sz="4" w:space="0" w:color="000000"/>
              <w:right w:val="single" w:sz="4" w:space="0" w:color="000000"/>
            </w:tcBorders>
            <w:vAlign w:val="center"/>
          </w:tcPr>
          <w:p>
            <w:pPr>
              <w:pStyle w:val="Normal"/>
              <w:widowControl w:val="false"/>
              <w:spacing w:before="120" w:after="120"/>
              <w:jc w:val="center"/>
              <w:rPr>
                <w:rFonts w:ascii="Arial" w:hAnsi="Arial" w:cs="Arial"/>
                <w:b/>
                <w:b/>
                <w:lang w:val="en-GB"/>
              </w:rPr>
            </w:pPr>
            <w:r>
              <w:rPr>
                <w:rFonts w:cs="Arial" w:ascii="Arial" w:hAnsi="Arial"/>
                <w:sz w:val="22"/>
                <w:szCs w:val="22"/>
                <w:lang w:val="en-GB"/>
              </w:rPr>
              <w:t>2 pcs</w:t>
            </w:r>
          </w:p>
        </w:tc>
        <w:tc>
          <w:tcPr>
            <w:tcW w:w="5625" w:type="dxa"/>
            <w:gridSpan w:val="2"/>
            <w:tcBorders>
              <w:left w:val="single" w:sz="4" w:space="0" w:color="000000"/>
              <w:bottom w:val="double" w:sz="4" w:space="0" w:color="000000"/>
              <w:right w:val="double" w:sz="4" w:space="0" w:color="000000"/>
            </w:tcBorders>
            <w:vAlign w:val="center"/>
          </w:tcPr>
          <w:p>
            <w:pPr>
              <w:pStyle w:val="Normal"/>
              <w:widowControl w:val="false"/>
              <w:spacing w:before="120" w:after="120"/>
              <w:jc w:val="center"/>
              <w:rPr>
                <w:rFonts w:ascii="Arial" w:hAnsi="Arial" w:eastAsia="SimSun" w:cs="Arial"/>
                <w:b/>
                <w:b/>
                <w:color w:val="auto"/>
                <w:spacing w:val="-2"/>
                <w:kern w:val="0"/>
                <w:sz w:val="22"/>
                <w:szCs w:val="20"/>
                <w:lang w:val="en-GB" w:eastAsia="zh-CN" w:bidi="he-IL"/>
              </w:rPr>
            </w:pPr>
            <w:r>
              <w:rPr>
                <w:rFonts w:eastAsia="SimSun" w:cs="Arial" w:ascii="Arial" w:hAnsi="Arial"/>
                <w:b/>
                <w:color w:val="auto"/>
                <w:spacing w:val="-2"/>
                <w:kern w:val="0"/>
                <w:sz w:val="22"/>
                <w:szCs w:val="20"/>
                <w:lang w:val="en-GB" w:eastAsia="zh-CN" w:bidi="he-IL"/>
              </w:rPr>
              <w:t>As per the specification mentioned in Page 75</w:t>
            </w:r>
          </w:p>
        </w:tc>
      </w:tr>
      <w:tr>
        <w:trPr>
          <w:trHeight w:val="61" w:hRule="atLeast"/>
          <w:cantSplit w:val="true"/>
        </w:trPr>
        <w:tc>
          <w:tcPr>
            <w:tcW w:w="808" w:type="dxa"/>
            <w:gridSpan w:val="2"/>
            <w:tcBorders>
              <w:top w:val="double" w:sz="4" w:space="0" w:color="000000"/>
              <w:left w:val="double" w:sz="4" w:space="0" w:color="000000"/>
              <w:bottom w:val="double" w:sz="4" w:space="0" w:color="000000"/>
              <w:right w:val="single" w:sz="6" w:space="0" w:color="000000"/>
            </w:tcBorders>
            <w:vAlign w:val="center"/>
          </w:tcPr>
          <w:p>
            <w:pPr>
              <w:pStyle w:val="Normal"/>
              <w:widowControl w:val="false"/>
              <w:spacing w:before="120" w:after="120"/>
              <w:jc w:val="center"/>
              <w:rPr>
                <w:rFonts w:ascii="Arial" w:hAnsi="Arial" w:cs="Arial"/>
                <w:b/>
                <w:b/>
                <w:lang w:val="en-GB"/>
              </w:rPr>
            </w:pPr>
            <w:r>
              <w:rPr>
                <w:rFonts w:cs="Arial" w:ascii="Arial" w:hAnsi="Arial"/>
                <w:b/>
                <w:lang w:val="en-GB"/>
              </w:rPr>
              <w:t>02</w:t>
            </w:r>
          </w:p>
        </w:tc>
        <w:tc>
          <w:tcPr>
            <w:tcW w:w="2160" w:type="dxa"/>
            <w:tcBorders>
              <w:top w:val="double" w:sz="4" w:space="0" w:color="000000"/>
              <w:left w:val="single" w:sz="6" w:space="0" w:color="000000"/>
              <w:bottom w:val="double" w:sz="4" w:space="0" w:color="000000"/>
              <w:right w:val="single" w:sz="6" w:space="0" w:color="000000"/>
            </w:tcBorders>
            <w:vAlign w:val="center"/>
          </w:tcPr>
          <w:p>
            <w:pPr>
              <w:pStyle w:val="Normal"/>
              <w:widowControl w:val="false"/>
              <w:suppressAutoHyphens w:val="true"/>
              <w:snapToGrid w:val="false"/>
              <w:rPr>
                <w:sz w:val="22"/>
                <w:szCs w:val="22"/>
                <w:lang w:val="en-GB"/>
              </w:rPr>
            </w:pPr>
            <w:r>
              <w:rPr>
                <w:sz w:val="22"/>
                <w:szCs w:val="20"/>
                <w:lang w:bidi="he-IL"/>
              </w:rPr>
              <w:t>Registerd Lamination Film of DU</w:t>
            </w:r>
          </w:p>
        </w:tc>
        <w:tc>
          <w:tcPr>
            <w:tcW w:w="766" w:type="dxa"/>
            <w:tcBorders>
              <w:top w:val="double" w:sz="4" w:space="0" w:color="000000"/>
              <w:left w:val="single" w:sz="6" w:space="0" w:color="000000"/>
              <w:bottom w:val="double" w:sz="4" w:space="0" w:color="000000"/>
              <w:right w:val="single" w:sz="4" w:space="0" w:color="000000"/>
            </w:tcBorders>
            <w:vAlign w:val="center"/>
          </w:tcPr>
          <w:p>
            <w:pPr>
              <w:pStyle w:val="Normal"/>
              <w:widowControl w:val="false"/>
              <w:spacing w:before="120" w:after="120"/>
              <w:jc w:val="center"/>
              <w:rPr>
                <w:rFonts w:ascii="Arial" w:hAnsi="Arial" w:cs="Arial"/>
                <w:sz w:val="22"/>
                <w:szCs w:val="22"/>
                <w:lang w:val="en-GB"/>
              </w:rPr>
            </w:pPr>
            <w:r>
              <w:rPr>
                <w:rFonts w:cs="Arial" w:ascii="Arial" w:hAnsi="Arial"/>
                <w:sz w:val="22"/>
                <w:szCs w:val="22"/>
                <w:lang w:val="en-GB"/>
              </w:rPr>
              <w:t>35 pcs</w:t>
            </w:r>
          </w:p>
        </w:tc>
        <w:tc>
          <w:tcPr>
            <w:tcW w:w="5625" w:type="dxa"/>
            <w:gridSpan w:val="2"/>
            <w:tcBorders>
              <w:top w:val="double" w:sz="4" w:space="0" w:color="000000"/>
              <w:left w:val="single" w:sz="4" w:space="0" w:color="000000"/>
              <w:bottom w:val="double" w:sz="4" w:space="0" w:color="000000"/>
              <w:right w:val="double" w:sz="4" w:space="0" w:color="000000"/>
            </w:tcBorders>
            <w:vAlign w:val="center"/>
          </w:tcPr>
          <w:p>
            <w:pPr>
              <w:pStyle w:val="Normal"/>
              <w:widowControl w:val="false"/>
              <w:spacing w:before="120" w:after="120"/>
              <w:ind w:left="55" w:hanging="0"/>
              <w:jc w:val="center"/>
              <w:rPr>
                <w:rFonts w:ascii="Arial" w:hAnsi="Arial" w:eastAsia="SimSun" w:cs="Arial"/>
                <w:b/>
                <w:b/>
                <w:color w:val="auto"/>
                <w:kern w:val="0"/>
                <w:sz w:val="22"/>
                <w:szCs w:val="20"/>
                <w:lang w:val="en-GB" w:eastAsia="zh-CN" w:bidi="he-IL"/>
              </w:rPr>
            </w:pPr>
            <w:r>
              <w:rPr>
                <w:rFonts w:eastAsia="SimSun" w:cs="Arial" w:ascii="Arial" w:hAnsi="Arial"/>
                <w:b/>
                <w:color w:val="auto"/>
                <w:spacing w:val="-2"/>
                <w:kern w:val="0"/>
                <w:sz w:val="22"/>
                <w:szCs w:val="20"/>
                <w:lang w:val="en-GB" w:eastAsia="zh-CN" w:bidi="he-IL"/>
              </w:rPr>
              <w:t>As per the specification mentioned in Page 76</w:t>
            </w:r>
          </w:p>
        </w:tc>
      </w:tr>
      <w:tr>
        <w:trPr>
          <w:trHeight w:val="61" w:hRule="atLeast"/>
          <w:cantSplit w:val="true"/>
        </w:trPr>
        <w:tc>
          <w:tcPr>
            <w:tcW w:w="808" w:type="dxa"/>
            <w:gridSpan w:val="2"/>
            <w:tcBorders>
              <w:top w:val="double" w:sz="4" w:space="0" w:color="000000"/>
              <w:left w:val="double" w:sz="4" w:space="0" w:color="000000"/>
              <w:bottom w:val="double" w:sz="4" w:space="0" w:color="000000"/>
              <w:right w:val="single" w:sz="6" w:space="0" w:color="000000"/>
            </w:tcBorders>
            <w:vAlign w:val="center"/>
          </w:tcPr>
          <w:p>
            <w:pPr>
              <w:pStyle w:val="Normal"/>
              <w:widowControl w:val="false"/>
              <w:spacing w:before="120" w:after="120"/>
              <w:jc w:val="center"/>
              <w:rPr>
                <w:rFonts w:ascii="Arial" w:hAnsi="Arial" w:cs="Arial"/>
                <w:b/>
                <w:b/>
                <w:lang w:val="en-GB"/>
              </w:rPr>
            </w:pPr>
            <w:r>
              <w:rPr>
                <w:rFonts w:cs="Arial" w:ascii="Arial" w:hAnsi="Arial"/>
                <w:b/>
                <w:lang w:val="en-GB"/>
              </w:rPr>
              <w:t>03</w:t>
            </w:r>
          </w:p>
        </w:tc>
        <w:tc>
          <w:tcPr>
            <w:tcW w:w="2160" w:type="dxa"/>
            <w:tcBorders>
              <w:top w:val="double" w:sz="4" w:space="0" w:color="000000"/>
              <w:left w:val="single" w:sz="6" w:space="0" w:color="000000"/>
              <w:bottom w:val="double" w:sz="4" w:space="0" w:color="000000"/>
              <w:right w:val="single" w:sz="6" w:space="0" w:color="000000"/>
            </w:tcBorders>
            <w:vAlign w:val="center"/>
          </w:tcPr>
          <w:p>
            <w:pPr>
              <w:pStyle w:val="Normal"/>
              <w:widowControl w:val="false"/>
              <w:suppressAutoHyphens w:val="true"/>
              <w:snapToGrid w:val="false"/>
              <w:rPr>
                <w:sz w:val="22"/>
                <w:szCs w:val="32"/>
                <w:lang w:val="en-GB"/>
              </w:rPr>
            </w:pPr>
            <w:r>
              <w:rPr>
                <w:sz w:val="22"/>
                <w:szCs w:val="32"/>
                <w:lang w:val="en-GB"/>
              </w:rPr>
              <w:t>Color Ribbon (Original)</w:t>
            </w:r>
          </w:p>
          <w:p>
            <w:pPr>
              <w:pStyle w:val="Normal"/>
              <w:widowControl w:val="false"/>
              <w:suppressAutoHyphens w:val="true"/>
              <w:snapToGrid w:val="false"/>
              <w:rPr>
                <w:sz w:val="22"/>
                <w:szCs w:val="20"/>
                <w:lang w:bidi="he-IL"/>
              </w:rPr>
            </w:pPr>
            <w:r>
              <w:rPr>
                <w:sz w:val="22"/>
                <w:szCs w:val="20"/>
                <w:lang w:bidi="he-IL"/>
              </w:rPr>
            </w:r>
          </w:p>
        </w:tc>
        <w:tc>
          <w:tcPr>
            <w:tcW w:w="766" w:type="dxa"/>
            <w:tcBorders>
              <w:top w:val="double" w:sz="4" w:space="0" w:color="000000"/>
              <w:left w:val="single" w:sz="6" w:space="0" w:color="000000"/>
              <w:bottom w:val="double" w:sz="4" w:space="0" w:color="000000"/>
              <w:right w:val="single" w:sz="4" w:space="0" w:color="000000"/>
            </w:tcBorders>
            <w:vAlign w:val="center"/>
          </w:tcPr>
          <w:p>
            <w:pPr>
              <w:pStyle w:val="Normal"/>
              <w:widowControl w:val="false"/>
              <w:spacing w:before="120" w:after="120"/>
              <w:ind w:left="-108" w:right="-63" w:hanging="0"/>
              <w:jc w:val="center"/>
              <w:rPr>
                <w:rFonts w:ascii="Arial" w:hAnsi="Arial" w:cs="Arial"/>
                <w:sz w:val="22"/>
                <w:szCs w:val="22"/>
                <w:lang w:val="en-GB"/>
              </w:rPr>
            </w:pPr>
            <w:r>
              <w:rPr>
                <w:rFonts w:cs="Arial" w:ascii="Arial" w:hAnsi="Arial"/>
                <w:sz w:val="22"/>
                <w:szCs w:val="22"/>
                <w:lang w:val="en-GB"/>
              </w:rPr>
              <w:t>140 pcs</w:t>
            </w:r>
          </w:p>
        </w:tc>
        <w:tc>
          <w:tcPr>
            <w:tcW w:w="5625" w:type="dxa"/>
            <w:gridSpan w:val="2"/>
            <w:tcBorders>
              <w:top w:val="double" w:sz="4" w:space="0" w:color="000000"/>
              <w:left w:val="single" w:sz="4" w:space="0" w:color="000000"/>
              <w:bottom w:val="double" w:sz="4" w:space="0" w:color="000000"/>
              <w:right w:val="double" w:sz="4" w:space="0" w:color="000000"/>
            </w:tcBorders>
            <w:vAlign w:val="center"/>
          </w:tcPr>
          <w:p>
            <w:pPr>
              <w:pStyle w:val="Normal"/>
              <w:widowControl w:val="false"/>
              <w:spacing w:before="120" w:after="120"/>
              <w:ind w:left="55" w:hanging="0"/>
              <w:jc w:val="center"/>
              <w:rPr>
                <w:rFonts w:ascii="Arial" w:hAnsi="Arial" w:cs="Arial"/>
                <w:b/>
                <w:b/>
                <w:lang w:val="en-GB"/>
              </w:rPr>
            </w:pPr>
            <w:r>
              <w:rPr>
                <w:rFonts w:cs="Arial" w:ascii="Arial" w:hAnsi="Arial"/>
                <w:b/>
                <w:sz w:val="22"/>
                <w:szCs w:val="20"/>
                <w:lang w:val="en-GB" w:bidi="he-IL"/>
              </w:rPr>
              <w:t>As per the specification mentioned in Page 7</w:t>
            </w:r>
            <w:r>
              <w:rPr>
                <w:rFonts w:cs="Arial" w:ascii="Arial" w:hAnsi="Arial"/>
                <w:b/>
                <w:sz w:val="22"/>
                <w:szCs w:val="20"/>
                <w:lang w:val="en-GB" w:bidi="he-IL"/>
              </w:rPr>
              <w:t>6</w:t>
            </w:r>
          </w:p>
        </w:tc>
      </w:tr>
      <w:tr>
        <w:trPr>
          <w:trHeight w:val="61" w:hRule="atLeast"/>
          <w:cantSplit w:val="true"/>
        </w:trPr>
        <w:tc>
          <w:tcPr>
            <w:tcW w:w="808" w:type="dxa"/>
            <w:gridSpan w:val="2"/>
            <w:tcBorders>
              <w:top w:val="double" w:sz="4" w:space="0" w:color="000000"/>
              <w:left w:val="double" w:sz="4" w:space="0" w:color="000000"/>
              <w:bottom w:val="double" w:sz="4" w:space="0" w:color="000000"/>
              <w:right w:val="single" w:sz="6" w:space="0" w:color="000000"/>
            </w:tcBorders>
            <w:vAlign w:val="center"/>
          </w:tcPr>
          <w:p>
            <w:pPr>
              <w:pStyle w:val="Normal"/>
              <w:widowControl w:val="false"/>
              <w:spacing w:before="120" w:after="120"/>
              <w:jc w:val="center"/>
              <w:rPr>
                <w:rFonts w:ascii="Arial" w:hAnsi="Arial" w:cs="Arial"/>
                <w:b/>
                <w:b/>
                <w:lang w:val="en-GB"/>
              </w:rPr>
            </w:pPr>
            <w:r>
              <w:rPr>
                <w:rFonts w:cs="Arial" w:ascii="Arial" w:hAnsi="Arial"/>
                <w:b/>
                <w:lang w:val="en-GB"/>
              </w:rPr>
              <w:t>04</w:t>
            </w:r>
          </w:p>
        </w:tc>
        <w:tc>
          <w:tcPr>
            <w:tcW w:w="2160" w:type="dxa"/>
            <w:tcBorders>
              <w:top w:val="double" w:sz="4" w:space="0" w:color="000000"/>
              <w:left w:val="single" w:sz="6" w:space="0" w:color="000000"/>
              <w:bottom w:val="double" w:sz="4" w:space="0" w:color="000000"/>
              <w:right w:val="single" w:sz="6" w:space="0" w:color="000000"/>
            </w:tcBorders>
            <w:vAlign w:val="center"/>
          </w:tcPr>
          <w:p>
            <w:pPr>
              <w:pStyle w:val="Normal"/>
              <w:widowControl w:val="false"/>
              <w:suppressAutoHyphens w:val="true"/>
              <w:snapToGrid w:val="false"/>
              <w:rPr>
                <w:sz w:val="22"/>
                <w:szCs w:val="32"/>
                <w:lang w:val="en-GB"/>
              </w:rPr>
            </w:pPr>
            <w:r>
              <w:rPr>
                <w:sz w:val="22"/>
                <w:szCs w:val="32"/>
                <w:lang w:val="en-GB"/>
              </w:rPr>
              <w:t>Cleaning Kit</w:t>
            </w:r>
          </w:p>
        </w:tc>
        <w:tc>
          <w:tcPr>
            <w:tcW w:w="766" w:type="dxa"/>
            <w:tcBorders>
              <w:top w:val="double" w:sz="4" w:space="0" w:color="000000"/>
              <w:left w:val="single" w:sz="6" w:space="0" w:color="000000"/>
              <w:bottom w:val="double" w:sz="4" w:space="0" w:color="000000"/>
              <w:right w:val="single" w:sz="4" w:space="0" w:color="000000"/>
            </w:tcBorders>
            <w:vAlign w:val="center"/>
          </w:tcPr>
          <w:p>
            <w:pPr>
              <w:pStyle w:val="Normal"/>
              <w:widowControl w:val="false"/>
              <w:spacing w:before="120" w:after="120"/>
              <w:jc w:val="center"/>
              <w:rPr>
                <w:rFonts w:ascii="Arial" w:hAnsi="Arial" w:cs="Arial"/>
                <w:sz w:val="22"/>
                <w:szCs w:val="22"/>
                <w:lang w:val="en-GB"/>
              </w:rPr>
            </w:pPr>
            <w:r>
              <w:rPr>
                <w:rFonts w:cs="Arial" w:ascii="Arial" w:hAnsi="Arial"/>
                <w:sz w:val="22"/>
                <w:szCs w:val="22"/>
                <w:lang w:val="en-GB"/>
              </w:rPr>
              <w:t>3</w:t>
            </w:r>
          </w:p>
          <w:p>
            <w:pPr>
              <w:pStyle w:val="Normal"/>
              <w:widowControl w:val="false"/>
              <w:spacing w:before="120" w:after="120"/>
              <w:jc w:val="center"/>
              <w:rPr>
                <w:rFonts w:ascii="Arial" w:hAnsi="Arial" w:cs="Arial"/>
                <w:sz w:val="22"/>
                <w:szCs w:val="22"/>
                <w:lang w:val="en-GB"/>
              </w:rPr>
            </w:pPr>
            <w:r>
              <w:rPr>
                <w:rFonts w:cs="Arial" w:ascii="Arial" w:hAnsi="Arial"/>
                <w:sz w:val="22"/>
                <w:szCs w:val="22"/>
                <w:lang w:val="en-GB"/>
              </w:rPr>
              <w:t>sets</w:t>
            </w:r>
          </w:p>
        </w:tc>
        <w:tc>
          <w:tcPr>
            <w:tcW w:w="5625" w:type="dxa"/>
            <w:gridSpan w:val="2"/>
            <w:tcBorders>
              <w:top w:val="double" w:sz="4" w:space="0" w:color="000000"/>
              <w:left w:val="single" w:sz="4" w:space="0" w:color="000000"/>
              <w:bottom w:val="double" w:sz="4" w:space="0" w:color="000000"/>
              <w:right w:val="double" w:sz="4" w:space="0" w:color="000000"/>
            </w:tcBorders>
            <w:vAlign w:val="center"/>
          </w:tcPr>
          <w:p>
            <w:pPr>
              <w:pStyle w:val="Normal"/>
              <w:widowControl w:val="false"/>
              <w:suppressAutoHyphens w:val="true"/>
              <w:spacing w:before="0" w:after="0"/>
              <w:ind w:left="55" w:hanging="0"/>
              <w:jc w:val="left"/>
              <w:rPr>
                <w:b/>
                <w:b/>
                <w:bCs/>
                <w:sz w:val="22"/>
                <w:szCs w:val="22"/>
                <w:lang w:val="en-GB"/>
              </w:rPr>
            </w:pPr>
            <w:r>
              <w:rPr>
                <w:rFonts w:eastAsia="Times New Roman" w:cs="Times New Roman"/>
                <w:b/>
                <w:bCs/>
                <w:kern w:val="0"/>
                <w:sz w:val="22"/>
                <w:szCs w:val="22"/>
                <w:lang w:val="en-GB" w:bidi="ar-SA"/>
              </w:rPr>
              <w:t>Same Brand as the Printer and Laminator</w:t>
            </w:r>
          </w:p>
          <w:p>
            <w:pPr>
              <w:pStyle w:val="Normal"/>
              <w:widowControl w:val="false"/>
              <w:suppressAutoHyphens w:val="true"/>
              <w:spacing w:before="0" w:after="0"/>
              <w:ind w:left="55" w:hanging="0"/>
              <w:jc w:val="left"/>
              <w:rPr>
                <w:sz w:val="22"/>
                <w:szCs w:val="22"/>
                <w:lang w:val="en-GB"/>
              </w:rPr>
            </w:pPr>
            <w:r>
              <w:rPr>
                <w:rFonts w:eastAsia="Times New Roman" w:cs="Times New Roman"/>
                <w:kern w:val="0"/>
                <w:sz w:val="22"/>
                <w:szCs w:val="22"/>
                <w:lang w:val="en-GB" w:bidi="ar-SA"/>
              </w:rPr>
              <w:t>Cleaning Kit for Printer</w:t>
            </w:r>
            <w:r>
              <w:rPr>
                <w:rFonts w:eastAsia="Times New Roman" w:cs="Times New Roman"/>
                <w:kern w:val="0"/>
                <w:sz w:val="22"/>
                <w:szCs w:val="22"/>
                <w:lang w:val="en-GB" w:bidi="ar-SA"/>
              </w:rPr>
              <w:t>s</w:t>
            </w:r>
            <w:r>
              <w:rPr>
                <w:rFonts w:eastAsia="Times New Roman" w:cs="Times New Roman"/>
                <w:kern w:val="0"/>
                <w:sz w:val="22"/>
                <w:szCs w:val="22"/>
                <w:lang w:val="en-GB" w:bidi="ar-SA"/>
              </w:rPr>
              <w:t xml:space="preserve"> </w:t>
            </w:r>
            <w:r>
              <w:rPr>
                <w:rFonts w:eastAsia="Times New Roman" w:cs="Times New Roman"/>
                <w:kern w:val="0"/>
                <w:sz w:val="22"/>
                <w:szCs w:val="22"/>
                <w:lang w:val="en-GB" w:bidi="ar-SA"/>
              </w:rPr>
              <w:t>(</w:t>
            </w:r>
            <w:r>
              <w:rPr>
                <w:rFonts w:eastAsia="Times New Roman" w:cs="Times New Roman"/>
                <w:kern w:val="0"/>
                <w:sz w:val="22"/>
                <w:szCs w:val="22"/>
                <w:lang w:val="en-GB" w:bidi="ar-SA"/>
              </w:rPr>
              <w:t>Adhesive 50 cards</w:t>
            </w:r>
            <w:r>
              <w:rPr>
                <w:rFonts w:eastAsia="Times New Roman" w:cs="Times New Roman"/>
                <w:kern w:val="0"/>
                <w:sz w:val="22"/>
                <w:szCs w:val="22"/>
                <w:lang w:val="en-GB" w:bidi="ar-SA"/>
              </w:rPr>
              <w:t>) X 3</w:t>
            </w:r>
          </w:p>
          <w:p>
            <w:pPr>
              <w:pStyle w:val="Normal"/>
              <w:widowControl w:val="false"/>
              <w:suppressAutoHyphens w:val="true"/>
              <w:spacing w:before="0" w:after="0"/>
              <w:ind w:left="55" w:hanging="0"/>
              <w:jc w:val="left"/>
              <w:rPr>
                <w:sz w:val="22"/>
                <w:szCs w:val="22"/>
                <w:lang w:val="en-GB"/>
              </w:rPr>
            </w:pPr>
            <w:r>
              <w:rPr>
                <w:rFonts w:eastAsia="Times New Roman" w:cs="Times New Roman"/>
                <w:kern w:val="0"/>
                <w:sz w:val="22"/>
                <w:szCs w:val="22"/>
                <w:lang w:val="en-GB" w:bidi="ar-SA"/>
              </w:rPr>
              <w:t>Cleaning Kit for Printers (</w:t>
            </w:r>
            <w:r>
              <w:rPr>
                <w:rFonts w:eastAsia="Times New Roman" w:cs="Times New Roman"/>
                <w:kern w:val="0"/>
                <w:sz w:val="22"/>
                <w:szCs w:val="22"/>
                <w:lang w:val="en-GB" w:bidi="ar-SA"/>
              </w:rPr>
              <w:t>2 X T-Cards, and 1 X pen</w:t>
            </w:r>
            <w:r>
              <w:rPr>
                <w:rFonts w:eastAsia="Times New Roman" w:cs="Times New Roman"/>
                <w:kern w:val="0"/>
                <w:sz w:val="22"/>
                <w:szCs w:val="22"/>
                <w:lang w:val="en-GB" w:bidi="ar-SA"/>
              </w:rPr>
              <w:t>) X 3</w:t>
            </w:r>
          </w:p>
          <w:p>
            <w:pPr>
              <w:pStyle w:val="Normal"/>
              <w:widowControl w:val="false"/>
              <w:suppressAutoHyphens w:val="true"/>
              <w:spacing w:before="0" w:after="0"/>
              <w:ind w:left="55" w:hanging="0"/>
              <w:jc w:val="left"/>
              <w:rPr>
                <w:sz w:val="22"/>
                <w:szCs w:val="22"/>
                <w:lang w:val="en-GB"/>
              </w:rPr>
            </w:pPr>
            <w:r>
              <w:rPr>
                <w:rFonts w:eastAsia="Times New Roman" w:cs="Times New Roman"/>
                <w:kern w:val="0"/>
                <w:sz w:val="22"/>
                <w:szCs w:val="22"/>
                <w:lang w:val="en-GB" w:bidi="ar-SA"/>
              </w:rPr>
              <w:t xml:space="preserve">Adhesive Cleaning Kit for the Laminators </w:t>
            </w:r>
            <w:r>
              <w:rPr>
                <w:rFonts w:eastAsia="Times New Roman" w:cs="Times New Roman"/>
                <w:kern w:val="0"/>
                <w:sz w:val="22"/>
                <w:szCs w:val="22"/>
                <w:lang w:val="en-GB" w:bidi="ar-SA"/>
              </w:rPr>
              <w:t>(10 cards)</w:t>
            </w:r>
            <w:r>
              <w:rPr>
                <w:rFonts w:eastAsia="Times New Roman" w:cs="Times New Roman"/>
                <w:kern w:val="0"/>
                <w:sz w:val="22"/>
                <w:szCs w:val="22"/>
                <w:lang w:val="en-GB" w:bidi="ar-SA"/>
              </w:rPr>
              <w:t xml:space="preserve"> X 3</w:t>
            </w:r>
          </w:p>
        </w:tc>
      </w:tr>
      <w:tr>
        <w:trPr>
          <w:trHeight w:val="593" w:hRule="atLeast"/>
          <w:cantSplit w:val="true"/>
        </w:trPr>
        <w:tc>
          <w:tcPr>
            <w:tcW w:w="9359" w:type="dxa"/>
            <w:gridSpan w:val="6"/>
            <w:tcBorders>
              <w:top w:val="single" w:sz="6" w:space="0" w:color="000000"/>
              <w:left w:val="double" w:sz="4" w:space="0" w:color="000000"/>
              <w:bottom w:val="single" w:sz="6" w:space="0" w:color="000000"/>
              <w:right w:val="double" w:sz="4" w:space="0" w:color="000000"/>
            </w:tcBorders>
          </w:tcPr>
          <w:p>
            <w:pPr>
              <w:pStyle w:val="Normal"/>
              <w:widowControl w:val="false"/>
              <w:spacing w:before="120" w:after="0"/>
              <w:rPr>
                <w:rFonts w:ascii="Arial" w:hAnsi="Arial" w:cs="Arial"/>
                <w:lang w:val="en-GB"/>
              </w:rPr>
            </w:pPr>
            <w:r>
              <w:rPr>
                <w:rFonts w:cs="Arial" w:ascii="Arial" w:hAnsi="Arial"/>
                <w:b/>
                <w:bCs/>
                <w:lang w:val="en-GB"/>
              </w:rPr>
              <w:t xml:space="preserve">Lot No 2: </w:t>
            </w:r>
            <w:r>
              <w:rPr>
                <w:rFonts w:cs="Arial" w:ascii="Arial" w:hAnsi="Arial"/>
                <w:b/>
                <w:sz w:val="22"/>
                <w:szCs w:val="32"/>
                <w:lang w:val="en-GB"/>
              </w:rPr>
              <w:t>Contactless NFC PVC Card (8K</w:t>
            </w:r>
            <w:r>
              <w:rPr>
                <w:rFonts w:cs="Arial" w:ascii="Arial" w:hAnsi="Arial"/>
                <w:b/>
                <w:sz w:val="22"/>
                <w:szCs w:val="32"/>
                <w:lang w:val="en-GB"/>
              </w:rPr>
              <w:t>B</w:t>
            </w:r>
            <w:r>
              <w:rPr>
                <w:rFonts w:cs="Arial" w:ascii="Arial" w:hAnsi="Arial"/>
                <w:b/>
                <w:sz w:val="22"/>
                <w:szCs w:val="32"/>
                <w:lang w:val="en-GB"/>
              </w:rPr>
              <w:t>)</w:t>
            </w:r>
          </w:p>
        </w:tc>
      </w:tr>
      <w:tr>
        <w:trPr>
          <w:trHeight w:val="593" w:hRule="atLeast"/>
          <w:cantSplit w:val="true"/>
        </w:trPr>
        <w:tc>
          <w:tcPr>
            <w:tcW w:w="718" w:type="dxa"/>
            <w:tcBorders>
              <w:top w:val="single" w:sz="6" w:space="0" w:color="000000"/>
              <w:left w:val="double" w:sz="4" w:space="0" w:color="000000"/>
              <w:bottom w:val="double" w:sz="4" w:space="0" w:color="000000"/>
              <w:right w:val="single" w:sz="6" w:space="0" w:color="000000"/>
            </w:tcBorders>
            <w:vAlign w:val="center"/>
          </w:tcPr>
          <w:p>
            <w:pPr>
              <w:pStyle w:val="Normal"/>
              <w:widowControl w:val="false"/>
              <w:spacing w:before="120" w:after="0"/>
              <w:jc w:val="center"/>
              <w:rPr>
                <w:rFonts w:ascii="Arial" w:hAnsi="Arial" w:cs="Arial"/>
                <w:lang w:val="en-GB"/>
              </w:rPr>
            </w:pPr>
            <w:r>
              <w:rPr>
                <w:rFonts w:cs="Arial" w:ascii="Arial" w:hAnsi="Arial"/>
                <w:lang w:val="en-GB"/>
              </w:rPr>
              <w:t>01</w:t>
            </w:r>
          </w:p>
        </w:tc>
        <w:tc>
          <w:tcPr>
            <w:tcW w:w="2250" w:type="dxa"/>
            <w:gridSpan w:val="2"/>
            <w:tcBorders>
              <w:top w:val="single" w:sz="6" w:space="0" w:color="000000"/>
              <w:left w:val="single" w:sz="6" w:space="0" w:color="000000"/>
              <w:bottom w:val="double" w:sz="4" w:space="0" w:color="000000"/>
              <w:right w:val="single" w:sz="6" w:space="0" w:color="000000"/>
            </w:tcBorders>
            <w:vAlign w:val="center"/>
          </w:tcPr>
          <w:p>
            <w:pPr>
              <w:pStyle w:val="Normal"/>
              <w:widowControl w:val="false"/>
              <w:suppressAutoHyphens w:val="true"/>
              <w:snapToGrid w:val="false"/>
              <w:spacing w:before="120" w:after="0"/>
              <w:rPr>
                <w:b w:val="false"/>
                <w:b w:val="false"/>
                <w:bCs w:val="false"/>
                <w:sz w:val="22"/>
                <w:szCs w:val="32"/>
                <w:lang w:val="en-GB"/>
              </w:rPr>
            </w:pPr>
            <w:r>
              <w:rPr>
                <w:b w:val="false"/>
                <w:bCs w:val="false"/>
                <w:sz w:val="22"/>
                <w:szCs w:val="32"/>
                <w:lang w:val="en-GB"/>
              </w:rPr>
              <w:t>Contactless NFC PVC Card (8K</w:t>
            </w:r>
            <w:r>
              <w:rPr>
                <w:b w:val="false"/>
                <w:bCs w:val="false"/>
                <w:sz w:val="22"/>
                <w:szCs w:val="32"/>
                <w:lang w:val="en-GB"/>
              </w:rPr>
              <w:t>B</w:t>
            </w:r>
            <w:r>
              <w:rPr>
                <w:b w:val="false"/>
                <w:bCs w:val="false"/>
                <w:sz w:val="22"/>
                <w:szCs w:val="32"/>
                <w:lang w:val="en-GB"/>
              </w:rPr>
              <w:t>)</w:t>
            </w:r>
          </w:p>
          <w:p>
            <w:pPr>
              <w:pStyle w:val="Normal"/>
              <w:widowControl w:val="false"/>
              <w:suppressAutoHyphens w:val="true"/>
              <w:snapToGrid w:val="false"/>
              <w:spacing w:before="0" w:after="120"/>
              <w:rPr>
                <w:b w:val="false"/>
                <w:b w:val="false"/>
                <w:bCs w:val="false"/>
                <w:sz w:val="20"/>
                <w:szCs w:val="32"/>
                <w:lang w:val="en-GB"/>
              </w:rPr>
            </w:pPr>
            <w:r>
              <w:rPr>
                <w:b w:val="false"/>
                <w:bCs w:val="false"/>
                <w:sz w:val="20"/>
                <w:szCs w:val="32"/>
                <w:lang w:val="en-GB"/>
              </w:rPr>
            </w:r>
          </w:p>
        </w:tc>
        <w:tc>
          <w:tcPr>
            <w:tcW w:w="811" w:type="dxa"/>
            <w:gridSpan w:val="2"/>
            <w:tcBorders>
              <w:top w:val="single" w:sz="6" w:space="0" w:color="000000"/>
              <w:left w:val="single" w:sz="6" w:space="0" w:color="000000"/>
              <w:bottom w:val="double" w:sz="4" w:space="0" w:color="000000"/>
              <w:right w:val="single" w:sz="6" w:space="0" w:color="000000"/>
            </w:tcBorders>
            <w:vAlign w:val="center"/>
          </w:tcPr>
          <w:p>
            <w:pPr>
              <w:pStyle w:val="Normal"/>
              <w:widowControl w:val="false"/>
              <w:spacing w:before="120" w:after="0"/>
              <w:ind w:right="-108" w:hanging="0"/>
              <w:jc w:val="center"/>
              <w:rPr>
                <w:rFonts w:ascii="Arial" w:hAnsi="Arial" w:cs="Arial"/>
                <w:lang w:val="en-GB"/>
              </w:rPr>
            </w:pPr>
            <w:r>
              <w:rPr>
                <w:rFonts w:cs="Arial" w:ascii="Arial" w:hAnsi="Arial"/>
                <w:sz w:val="22"/>
                <w:szCs w:val="22"/>
                <w:lang w:val="en-GB"/>
              </w:rPr>
              <w:t>20000 pcs</w:t>
            </w:r>
          </w:p>
        </w:tc>
        <w:tc>
          <w:tcPr>
            <w:tcW w:w="5580" w:type="dxa"/>
            <w:tcBorders>
              <w:top w:val="single" w:sz="6" w:space="0" w:color="000000"/>
              <w:left w:val="single" w:sz="6" w:space="0" w:color="000000"/>
              <w:bottom w:val="double" w:sz="4" w:space="0" w:color="000000"/>
              <w:right w:val="double" w:sz="4" w:space="0" w:color="000000"/>
            </w:tcBorders>
            <w:vAlign w:val="center"/>
          </w:tcPr>
          <w:p>
            <w:pPr>
              <w:pStyle w:val="Normal"/>
              <w:widowControl w:val="false"/>
              <w:spacing w:before="120" w:after="120"/>
              <w:ind w:left="55" w:hanging="0"/>
              <w:jc w:val="center"/>
              <w:rPr>
                <w:rFonts w:ascii="Arial" w:hAnsi="Arial" w:cs="Arial"/>
                <w:b/>
                <w:b/>
                <w:lang w:val="en-GB"/>
              </w:rPr>
            </w:pPr>
            <w:r>
              <w:rPr>
                <w:rFonts w:cs="Arial" w:ascii="Arial" w:hAnsi="Arial"/>
                <w:b/>
                <w:sz w:val="20"/>
                <w:szCs w:val="20"/>
                <w:lang w:val="en-GB" w:bidi="he-IL"/>
              </w:rPr>
              <w:t>As per the specification mentioned in Page 7</w:t>
            </w:r>
            <w:r>
              <w:rPr>
                <w:rFonts w:cs="Arial" w:ascii="Arial" w:hAnsi="Arial"/>
                <w:b/>
                <w:sz w:val="20"/>
                <w:szCs w:val="20"/>
                <w:lang w:val="en-GB" w:bidi="he-IL"/>
              </w:rPr>
              <w:t>7</w:t>
            </w:r>
          </w:p>
        </w:tc>
      </w:tr>
    </w:tbl>
    <w:p>
      <w:pPr>
        <w:pStyle w:val="Normal"/>
        <w:jc w:val="both"/>
        <w:rPr>
          <w:rFonts w:ascii="Arial" w:hAnsi="Arial" w:cs="Arial"/>
        </w:rPr>
      </w:pPr>
      <w:r>
        <w:rPr>
          <w:rFonts w:cs="Arial" w:ascii="Arial" w:hAnsi="Arial"/>
        </w:rPr>
      </w:r>
    </w:p>
    <w:p>
      <w:pPr>
        <w:pStyle w:val="Normal"/>
        <w:jc w:val="both"/>
        <w:rPr>
          <w:rFonts w:ascii="Arial" w:hAnsi="Arial" w:cs="Arial"/>
        </w:rPr>
      </w:pPr>
      <w:r>
        <w:rPr/>
      </w:r>
      <w:r>
        <w:br w:type="page"/>
      </w:r>
    </w:p>
    <w:p>
      <w:pPr>
        <w:pStyle w:val="Heading1"/>
        <w:rPr>
          <w:rFonts w:ascii="Arial" w:hAnsi="Arial" w:cs="Arial"/>
          <w:sz w:val="32"/>
          <w:lang w:val="en-GB"/>
        </w:rPr>
      </w:pPr>
      <w:r>
        <w:rPr>
          <w:rFonts w:cs="Arial" w:ascii="Arial" w:hAnsi="Arial"/>
          <w:sz w:val="32"/>
          <w:lang w:val="en-GB"/>
        </w:rPr>
        <w:t xml:space="preserve">Technical Specification of </w:t>
      </w:r>
      <w:r>
        <w:rPr>
          <w:rFonts w:cs="Arial" w:ascii="Arial" w:hAnsi="Arial"/>
          <w:sz w:val="32"/>
          <w:lang w:val="en-GB"/>
        </w:rPr>
        <w:t xml:space="preserve">Lot 1 </w:t>
      </w:r>
      <w:r>
        <w:rPr>
          <w:rFonts w:cs="Arial" w:ascii="Arial" w:hAnsi="Arial"/>
          <w:sz w:val="32"/>
          <w:lang w:val="en-GB"/>
        </w:rPr>
        <w:t xml:space="preserve">Item # </w:t>
      </w:r>
      <w:r>
        <w:rPr>
          <w:rFonts w:cs="Arial" w:ascii="Arial" w:hAnsi="Arial"/>
          <w:sz w:val="32"/>
          <w:lang w:val="en-GB"/>
        </w:rPr>
        <w:t>0</w:t>
      </w:r>
      <w:r>
        <w:rPr>
          <w:rFonts w:cs="Arial" w:ascii="Arial" w:hAnsi="Arial"/>
          <w:sz w:val="32"/>
          <w:lang w:val="en-GB"/>
        </w:rPr>
        <w:t>1</w:t>
      </w:r>
    </w:p>
    <w:p>
      <w:pPr>
        <w:pStyle w:val="Normal"/>
        <w:jc w:val="center"/>
        <w:rPr>
          <w:b/>
          <w:b/>
          <w:bCs/>
        </w:rPr>
      </w:pPr>
      <w:r>
        <w:rPr>
          <w:rFonts w:eastAsia="SimSun" w:cs="Arial" w:ascii="Arial" w:hAnsi="Arial"/>
          <w:b/>
          <w:bCs/>
          <w:color w:val="auto"/>
          <w:kern w:val="0"/>
          <w:sz w:val="22"/>
          <w:szCs w:val="22"/>
          <w:lang w:val="en-GB" w:eastAsia="zh-CN" w:bidi="ar-SA"/>
        </w:rPr>
        <w:t>Item Name: PVC/PET ID CARD Pri</w:t>
      </w:r>
      <w:r>
        <w:rPr>
          <w:rFonts w:cs="Arial" w:ascii="Arial" w:hAnsi="Arial"/>
          <w:b/>
          <w:bCs/>
          <w:sz w:val="22"/>
          <w:szCs w:val="22"/>
          <w:lang w:val="en-GB"/>
        </w:rPr>
        <w:t>nter with Laminator &amp; Encoder</w:t>
      </w:r>
    </w:p>
    <w:p>
      <w:pPr>
        <w:pStyle w:val="Normal"/>
        <w:rPr>
          <w:rFonts w:ascii="Arial" w:hAnsi="Arial" w:cs="Arial"/>
          <w:sz w:val="32"/>
          <w:lang w:val="en-GB"/>
        </w:rPr>
      </w:pPr>
      <w:r>
        <w:rPr/>
      </w:r>
    </w:p>
    <w:p>
      <w:pPr>
        <w:pStyle w:val="Normal"/>
        <w:rPr>
          <w:rFonts w:ascii="Arial" w:hAnsi="Arial" w:cs="Arial"/>
          <w:sz w:val="32"/>
          <w:lang w:val="en-GB"/>
        </w:rPr>
      </w:pPr>
      <w:r>
        <w:rPr/>
      </w:r>
    </w:p>
    <w:tbl>
      <w:tblPr>
        <w:tblW w:w="9088"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690"/>
        <w:gridCol w:w="4110"/>
        <w:gridCol w:w="4288"/>
      </w:tblGrid>
      <w:tr>
        <w:trPr>
          <w:trHeight w:val="315" w:hRule="atLeast"/>
        </w:trPr>
        <w:tc>
          <w:tcPr>
            <w:tcW w:w="690" w:type="dxa"/>
            <w:tcBorders>
              <w:top w:val="single" w:sz="8" w:space="0" w:color="000000"/>
              <w:left w:val="single" w:sz="8" w:space="0" w:color="000000"/>
              <w:bottom w:val="single" w:sz="4" w:space="0" w:color="000000"/>
              <w:right w:val="single" w:sz="4" w:space="0" w:color="000000"/>
            </w:tcBorders>
            <w:shd w:color="000000" w:fill="D9D9D9"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SL</w:t>
            </w:r>
          </w:p>
        </w:tc>
        <w:tc>
          <w:tcPr>
            <w:tcW w:w="4110" w:type="dxa"/>
            <w:tcBorders>
              <w:top w:val="single" w:sz="8" w:space="0" w:color="000000"/>
              <w:left w:val="single" w:sz="4" w:space="0" w:color="000000"/>
              <w:bottom w:val="single" w:sz="4" w:space="0" w:color="000000"/>
              <w:right w:val="single" w:sz="4" w:space="0" w:color="000000"/>
            </w:tcBorders>
            <w:shd w:color="000000" w:fill="D9D9D9"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FEATURES</w:t>
            </w:r>
          </w:p>
        </w:tc>
        <w:tc>
          <w:tcPr>
            <w:tcW w:w="4288" w:type="dxa"/>
            <w:tcBorders>
              <w:top w:val="single" w:sz="8" w:space="0" w:color="000000"/>
              <w:left w:val="single" w:sz="4" w:space="0" w:color="000000"/>
              <w:bottom w:val="single" w:sz="4" w:space="0" w:color="000000"/>
              <w:right w:val="single" w:sz="4" w:space="0" w:color="000000"/>
            </w:tcBorders>
            <w:shd w:color="000000" w:fill="D9D9D9"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BASIC REQUIREMENT</w:t>
            </w:r>
          </w:p>
        </w:tc>
      </w:tr>
      <w:tr>
        <w:trPr>
          <w:trHeight w:val="315" w:hRule="atLeast"/>
        </w:trPr>
        <w:tc>
          <w:tcPr>
            <w:tcW w:w="690" w:type="dxa"/>
            <w:tcBorders>
              <w:top w:val="single" w:sz="8" w:space="0" w:color="000000"/>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w:t>
            </w:r>
          </w:p>
        </w:tc>
        <w:tc>
          <w:tcPr>
            <w:tcW w:w="4110" w:type="dxa"/>
            <w:tcBorders>
              <w:top w:val="single" w:sz="8"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Brand Name</w:t>
            </w:r>
          </w:p>
        </w:tc>
        <w:tc>
          <w:tcPr>
            <w:tcW w:w="4288" w:type="dxa"/>
            <w:tcBorders>
              <w:top w:val="single" w:sz="8"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Any Reputed Brand</w:t>
            </w:r>
          </w:p>
        </w:tc>
      </w:tr>
      <w:tr>
        <w:trPr>
          <w:trHeight w:val="315" w:hRule="atLeast"/>
        </w:trPr>
        <w:tc>
          <w:tcPr>
            <w:tcW w:w="690" w:type="dxa"/>
            <w:tcBorders>
              <w:top w:val="single" w:sz="8" w:space="0" w:color="000000"/>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2</w:t>
            </w:r>
          </w:p>
        </w:tc>
        <w:tc>
          <w:tcPr>
            <w:tcW w:w="4110" w:type="dxa"/>
            <w:tcBorders>
              <w:top w:val="single" w:sz="8"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Model</w:t>
            </w:r>
          </w:p>
        </w:tc>
        <w:tc>
          <w:tcPr>
            <w:tcW w:w="4288" w:type="dxa"/>
            <w:tcBorders>
              <w:top w:val="single" w:sz="8"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Mentioned By Bidder</w:t>
            </w:r>
          </w:p>
        </w:tc>
      </w:tr>
      <w:tr>
        <w:trPr>
          <w:trHeight w:val="315" w:hRule="atLeast"/>
        </w:trPr>
        <w:tc>
          <w:tcPr>
            <w:tcW w:w="690" w:type="dxa"/>
            <w:tcBorders>
              <w:top w:val="single" w:sz="8" w:space="0" w:color="000000"/>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3</w:t>
            </w:r>
          </w:p>
        </w:tc>
        <w:tc>
          <w:tcPr>
            <w:tcW w:w="4110" w:type="dxa"/>
            <w:tcBorders>
              <w:top w:val="single" w:sz="8"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Country Of Origin</w:t>
            </w:r>
          </w:p>
        </w:tc>
        <w:tc>
          <w:tcPr>
            <w:tcW w:w="4288" w:type="dxa"/>
            <w:tcBorders>
              <w:top w:val="single" w:sz="8"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U</w:t>
            </w:r>
            <w:r>
              <w:rPr>
                <w:rFonts w:eastAsia="Times New Roman" w:cs="Times New Roman"/>
                <w:color w:val="000000" w:themeColor="text1"/>
                <w:sz w:val="20"/>
                <w:szCs w:val="20"/>
                <w:lang w:bidi="bn-BD"/>
              </w:rPr>
              <w:t>SA</w:t>
            </w:r>
            <w:r>
              <w:rPr>
                <w:rFonts w:eastAsia="Times New Roman" w:cs="Times New Roman"/>
                <w:color w:val="000000" w:themeColor="text1"/>
                <w:sz w:val="20"/>
                <w:szCs w:val="20"/>
                <w:lang w:bidi="bn-BD"/>
              </w:rPr>
              <w:t>/</w:t>
            </w:r>
            <w:r>
              <w:rPr>
                <w:rFonts w:eastAsia="Times New Roman" w:cs="Times New Roman"/>
                <w:color w:val="000000" w:themeColor="text1"/>
                <w:sz w:val="20"/>
                <w:szCs w:val="20"/>
                <w:lang w:bidi="bn-BD"/>
              </w:rPr>
              <w:t>UK/</w:t>
            </w:r>
            <w:r>
              <w:rPr>
                <w:rFonts w:eastAsia="Times New Roman" w:cs="Times New Roman"/>
                <w:color w:val="000000" w:themeColor="text1"/>
                <w:sz w:val="20"/>
                <w:szCs w:val="20"/>
                <w:lang w:bidi="bn-BD"/>
              </w:rPr>
              <w:t>France/Germany</w:t>
            </w:r>
          </w:p>
        </w:tc>
      </w:tr>
      <w:tr>
        <w:trPr>
          <w:trHeight w:val="315" w:hRule="atLeast"/>
        </w:trPr>
        <w:tc>
          <w:tcPr>
            <w:tcW w:w="690" w:type="dxa"/>
            <w:tcBorders>
              <w:top w:val="single" w:sz="8" w:space="0" w:color="000000"/>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4</w:t>
            </w:r>
          </w:p>
        </w:tc>
        <w:tc>
          <w:tcPr>
            <w:tcW w:w="4110" w:type="dxa"/>
            <w:tcBorders>
              <w:top w:val="single" w:sz="8"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Country Of Manufacture</w:t>
            </w:r>
          </w:p>
        </w:tc>
        <w:tc>
          <w:tcPr>
            <w:tcW w:w="4288" w:type="dxa"/>
            <w:tcBorders>
              <w:top w:val="single" w:sz="8"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U</w:t>
            </w:r>
            <w:r>
              <w:rPr>
                <w:rFonts w:eastAsia="Times New Roman" w:cs="Times New Roman"/>
                <w:color w:val="000000" w:themeColor="text1"/>
                <w:sz w:val="20"/>
                <w:szCs w:val="20"/>
                <w:lang w:bidi="bn-BD"/>
              </w:rPr>
              <w:t>SA</w:t>
            </w:r>
            <w:r>
              <w:rPr>
                <w:rFonts w:eastAsia="Times New Roman" w:cs="Times New Roman"/>
                <w:color w:val="000000" w:themeColor="text1"/>
                <w:sz w:val="20"/>
                <w:szCs w:val="20"/>
                <w:lang w:bidi="bn-BD"/>
              </w:rPr>
              <w:t>/</w:t>
            </w:r>
            <w:r>
              <w:rPr>
                <w:rFonts w:eastAsia="Times New Roman" w:cs="Times New Roman"/>
                <w:color w:val="000000" w:themeColor="text1"/>
                <w:sz w:val="20"/>
                <w:szCs w:val="20"/>
                <w:lang w:bidi="bn-BD"/>
              </w:rPr>
              <w:t>UK/</w:t>
            </w:r>
            <w:r>
              <w:rPr>
                <w:rFonts w:eastAsia="Times New Roman" w:cs="Times New Roman"/>
                <w:color w:val="000000" w:themeColor="text1"/>
                <w:sz w:val="20"/>
                <w:szCs w:val="20"/>
                <w:lang w:bidi="bn-BD"/>
              </w:rPr>
              <w:t>France/Germany</w:t>
            </w:r>
          </w:p>
        </w:tc>
      </w:tr>
      <w:tr>
        <w:trPr>
          <w:trHeight w:val="300" w:hRule="atLeast"/>
        </w:trPr>
        <w:tc>
          <w:tcPr>
            <w:tcW w:w="690"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5</w:t>
            </w:r>
          </w:p>
        </w:tc>
        <w:tc>
          <w:tcPr>
            <w:tcW w:w="4110" w:type="dxa"/>
            <w:tcBorders>
              <w:top w:val="single" w:sz="4" w:space="0" w:color="000000"/>
              <w:bottom w:val="single" w:sz="4" w:space="0" w:color="000000"/>
            </w:tcBorders>
            <w:shd w:color="auto" w:fill="auto" w:val="clear"/>
            <w:tcMar>
              <w:top w:w="55" w:type="dxa"/>
              <w:bottom w:w="55" w:type="dxa"/>
            </w:tcM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 xml:space="preserve">Printer </w:t>
            </w:r>
            <w:r>
              <w:rPr>
                <w:rFonts w:eastAsia="Times New Roman" w:cs="Times New Roman"/>
                <w:color w:val="000000" w:themeColor="text1"/>
                <w:sz w:val="20"/>
                <w:szCs w:val="20"/>
                <w:lang w:bidi="bn-BD"/>
              </w:rPr>
              <w:t>Type</w:t>
            </w:r>
          </w:p>
        </w:tc>
        <w:tc>
          <w:tcPr>
            <w:tcW w:w="4288" w:type="dxa"/>
            <w:tcBorders>
              <w:top w:val="single" w:sz="4" w:space="0" w:color="000000"/>
              <w:left w:val="single" w:sz="4" w:space="0" w:color="000000"/>
              <w:bottom w:val="single" w:sz="4" w:space="0" w:color="000000"/>
              <w:right w:val="single" w:sz="4" w:space="0" w:color="000000"/>
            </w:tcBorders>
            <w:shd w:color="auto" w:fill="auto" w:val="clear"/>
            <w:tcMar>
              <w:top w:w="55" w:type="dxa"/>
              <w:bottom w:w="55" w:type="dxa"/>
            </w:tcMar>
            <w:vAlign w:val="center"/>
          </w:tcPr>
          <w:p>
            <w:pPr>
              <w:pStyle w:val="Normal"/>
              <w:widowControl w:val="false"/>
              <w:spacing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Thermal I</w:t>
            </w:r>
            <w:r>
              <w:rPr>
                <w:rFonts w:eastAsia="Times New Roman" w:cs="Times New Roman"/>
                <w:color w:val="000000" w:themeColor="text1"/>
                <w:sz w:val="20"/>
                <w:szCs w:val="20"/>
                <w:lang w:bidi="bn-BD"/>
              </w:rPr>
              <w:t>D</w:t>
            </w:r>
            <w:r>
              <w:rPr>
                <w:rFonts w:eastAsia="Times New Roman" w:cs="Times New Roman"/>
                <w:color w:val="000000" w:themeColor="text1"/>
                <w:sz w:val="20"/>
                <w:szCs w:val="20"/>
                <w:lang w:bidi="bn-BD"/>
              </w:rPr>
              <w:t xml:space="preserve"> Card Printer</w:t>
            </w:r>
          </w:p>
        </w:tc>
      </w:tr>
      <w:tr>
        <w:trPr>
          <w:trHeight w:val="300" w:hRule="atLeast"/>
        </w:trPr>
        <w:tc>
          <w:tcPr>
            <w:tcW w:w="690" w:type="dxa"/>
            <w:tcBorders>
              <w:left w:val="single" w:sz="8"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6</w:t>
            </w:r>
          </w:p>
        </w:tc>
        <w:tc>
          <w:tcPr>
            <w:tcW w:w="4110" w:type="dxa"/>
            <w:tcBorders>
              <w:bottom w:val="single" w:sz="4" w:space="0" w:color="000000"/>
            </w:tcBorders>
            <w:shd w:color="auto" w:fill="auto" w:val="clear"/>
            <w:tcMar>
              <w:top w:w="55" w:type="dxa"/>
              <w:bottom w:w="55" w:type="dxa"/>
            </w:tcM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Print Technology</w:t>
            </w:r>
          </w:p>
        </w:tc>
        <w:tc>
          <w:tcPr>
            <w:tcW w:w="4288" w:type="dxa"/>
            <w:tcBorders>
              <w:left w:val="single" w:sz="4" w:space="0" w:color="000000"/>
              <w:bottom w:val="single" w:sz="4" w:space="0" w:color="000000"/>
              <w:right w:val="single" w:sz="4" w:space="0" w:color="000000"/>
            </w:tcBorders>
            <w:shd w:color="auto" w:fill="auto" w:val="clear"/>
            <w:tcMar>
              <w:top w:w="55" w:type="dxa"/>
              <w:bottom w:w="55" w:type="dxa"/>
            </w:tcMar>
            <w:vAlign w:val="center"/>
          </w:tcPr>
          <w:p>
            <w:pPr>
              <w:pStyle w:val="Normal"/>
              <w:widowControl w:val="false"/>
              <w:spacing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Color Dye Sublimation, Monochrome Thermal Transfer</w:t>
            </w:r>
          </w:p>
        </w:tc>
      </w:tr>
      <w:tr>
        <w:trPr>
          <w:trHeight w:val="300" w:hRule="atLeast"/>
        </w:trPr>
        <w:tc>
          <w:tcPr>
            <w:tcW w:w="690" w:type="dxa"/>
            <w:tcBorders>
              <w:left w:val="single" w:sz="8"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7</w:t>
            </w:r>
          </w:p>
        </w:tc>
        <w:tc>
          <w:tcPr>
            <w:tcW w:w="4110" w:type="dxa"/>
            <w:tcBorders>
              <w:bottom w:val="single" w:sz="4" w:space="0" w:color="000000"/>
            </w:tcBorders>
            <w:shd w:color="auto" w:fill="auto" w:val="clear"/>
            <w:tcMar>
              <w:top w:w="55" w:type="dxa"/>
              <w:bottom w:w="55" w:type="dxa"/>
            </w:tcM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Full Color Print</w:t>
            </w:r>
          </w:p>
        </w:tc>
        <w:tc>
          <w:tcPr>
            <w:tcW w:w="4288" w:type="dxa"/>
            <w:tcBorders>
              <w:left w:val="single" w:sz="4" w:space="0" w:color="000000"/>
              <w:bottom w:val="single" w:sz="4" w:space="0" w:color="000000"/>
              <w:right w:val="single" w:sz="4" w:space="0" w:color="000000"/>
            </w:tcBorders>
            <w:shd w:color="auto" w:fill="auto" w:val="clear"/>
            <w:tcMar>
              <w:top w:w="55" w:type="dxa"/>
              <w:bottom w:w="55" w:type="dxa"/>
            </w:tcMar>
            <w:vAlign w:val="center"/>
          </w:tcPr>
          <w:p>
            <w:pPr>
              <w:pStyle w:val="Normal"/>
              <w:widowControl w:val="false"/>
              <w:spacing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Duplex Printer, Edge To Edge Print, Lamination</w:t>
            </w:r>
          </w:p>
        </w:tc>
      </w:tr>
      <w:tr>
        <w:trPr>
          <w:trHeight w:val="300" w:hRule="atLeast"/>
        </w:trPr>
        <w:tc>
          <w:tcPr>
            <w:tcW w:w="690"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8</w:t>
            </w:r>
          </w:p>
        </w:tc>
        <w:tc>
          <w:tcPr>
            <w:tcW w:w="4110"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Print Head:</w:t>
            </w:r>
          </w:p>
        </w:tc>
        <w:tc>
          <w:tcPr>
            <w:tcW w:w="428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300 Dpi/ 11.8 Per Mm</w:t>
            </w:r>
          </w:p>
        </w:tc>
      </w:tr>
      <w:tr>
        <w:trPr>
          <w:trHeight w:val="300" w:hRule="atLeast"/>
        </w:trPr>
        <w:tc>
          <w:tcPr>
            <w:tcW w:w="690"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9</w:t>
            </w:r>
          </w:p>
        </w:tc>
        <w:tc>
          <w:tcPr>
            <w:tcW w:w="4110"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Color</w:t>
            </w:r>
            <w:r>
              <w:rPr>
                <w:rFonts w:eastAsia="Times New Roman" w:cs="Times New Roman"/>
                <w:color w:val="000000" w:themeColor="text1"/>
                <w:sz w:val="20"/>
                <w:szCs w:val="20"/>
                <w:lang w:bidi="bn-BD"/>
              </w:rPr>
              <w:t>s</w:t>
            </w:r>
          </w:p>
        </w:tc>
        <w:tc>
          <w:tcPr>
            <w:tcW w:w="428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16 Million</w:t>
            </w:r>
          </w:p>
        </w:tc>
      </w:tr>
      <w:tr>
        <w:trPr>
          <w:trHeight w:val="300" w:hRule="atLeast"/>
        </w:trPr>
        <w:tc>
          <w:tcPr>
            <w:tcW w:w="690"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10</w:t>
            </w:r>
          </w:p>
        </w:tc>
        <w:tc>
          <w:tcPr>
            <w:tcW w:w="4110"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R</w:t>
            </w:r>
            <w:r>
              <w:rPr>
                <w:rFonts w:eastAsia="Times New Roman" w:cs="Times New Roman"/>
                <w:color w:val="000000" w:themeColor="text1"/>
                <w:sz w:val="20"/>
                <w:szCs w:val="20"/>
                <w:lang w:bidi="bn-BD"/>
              </w:rPr>
              <w:t>AM</w:t>
            </w:r>
            <w:r>
              <w:rPr>
                <w:rFonts w:eastAsia="Times New Roman" w:cs="Times New Roman"/>
                <w:color w:val="000000" w:themeColor="text1"/>
                <w:sz w:val="20"/>
                <w:szCs w:val="20"/>
                <w:lang w:bidi="bn-BD"/>
              </w:rPr>
              <w:t>:</w:t>
            </w:r>
          </w:p>
        </w:tc>
        <w:tc>
          <w:tcPr>
            <w:tcW w:w="428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32 Mb</w:t>
            </w:r>
          </w:p>
        </w:tc>
      </w:tr>
      <w:tr>
        <w:trPr>
          <w:trHeight w:val="300" w:hRule="atLeast"/>
        </w:trPr>
        <w:tc>
          <w:tcPr>
            <w:tcW w:w="690"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11</w:t>
            </w:r>
          </w:p>
        </w:tc>
        <w:tc>
          <w:tcPr>
            <w:tcW w:w="4110"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Print And Lamination Speed:</w:t>
            </w:r>
          </w:p>
        </w:tc>
        <w:tc>
          <w:tcPr>
            <w:tcW w:w="428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Dual Side With Color Print, 140 Cards/Hour (Y</w:t>
            </w:r>
            <w:r>
              <w:rPr>
                <w:rFonts w:eastAsia="Times New Roman" w:cs="Times New Roman"/>
                <w:color w:val="000000" w:themeColor="text1"/>
                <w:sz w:val="20"/>
                <w:szCs w:val="20"/>
                <w:lang w:bidi="bn-BD"/>
              </w:rPr>
              <w:t>MCKO</w:t>
            </w:r>
            <w:r>
              <w:rPr>
                <w:rFonts w:eastAsia="Times New Roman" w:cs="Times New Roman"/>
                <w:color w:val="000000" w:themeColor="text1"/>
                <w:sz w:val="20"/>
                <w:szCs w:val="20"/>
                <w:lang w:bidi="bn-BD"/>
              </w:rPr>
              <w:t>-K, Lamination)</w:t>
            </w:r>
          </w:p>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Single Side Color Print &amp; Lamination, Upto 215 Cards/Hour</w:t>
            </w:r>
          </w:p>
        </w:tc>
      </w:tr>
      <w:tr>
        <w:trPr>
          <w:trHeight w:val="300" w:hRule="atLeast"/>
        </w:trPr>
        <w:tc>
          <w:tcPr>
            <w:tcW w:w="690"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12</w:t>
            </w:r>
          </w:p>
        </w:tc>
        <w:tc>
          <w:tcPr>
            <w:tcW w:w="4110"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Input Feeder Capacity:</w:t>
            </w:r>
          </w:p>
        </w:tc>
        <w:tc>
          <w:tcPr>
            <w:tcW w:w="428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100 Cards ( 0.76 Mm- 30 Mil)</w:t>
            </w:r>
          </w:p>
        </w:tc>
      </w:tr>
      <w:tr>
        <w:trPr>
          <w:trHeight w:val="300" w:hRule="atLeast"/>
        </w:trPr>
        <w:tc>
          <w:tcPr>
            <w:tcW w:w="690"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13</w:t>
            </w:r>
          </w:p>
        </w:tc>
        <w:tc>
          <w:tcPr>
            <w:tcW w:w="4110"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Out Put Card Feeder:</w:t>
            </w:r>
          </w:p>
        </w:tc>
        <w:tc>
          <w:tcPr>
            <w:tcW w:w="428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100 Cards ( 0.76 Mm- 30 Mil)</w:t>
            </w:r>
          </w:p>
        </w:tc>
      </w:tr>
      <w:tr>
        <w:trPr>
          <w:trHeight w:val="300" w:hRule="atLeast"/>
        </w:trPr>
        <w:tc>
          <w:tcPr>
            <w:tcW w:w="690"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14</w:t>
            </w:r>
          </w:p>
        </w:tc>
        <w:tc>
          <w:tcPr>
            <w:tcW w:w="4110"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Reject Tray:</w:t>
            </w:r>
          </w:p>
        </w:tc>
        <w:tc>
          <w:tcPr>
            <w:tcW w:w="428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100 Cards ( 0.76 Mm- 30 Mil)</w:t>
            </w:r>
          </w:p>
        </w:tc>
      </w:tr>
      <w:tr>
        <w:trPr>
          <w:trHeight w:val="300" w:hRule="atLeast"/>
        </w:trPr>
        <w:tc>
          <w:tcPr>
            <w:tcW w:w="690"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15</w:t>
            </w:r>
          </w:p>
        </w:tc>
        <w:tc>
          <w:tcPr>
            <w:tcW w:w="4110"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Card Thickness:</w:t>
            </w:r>
          </w:p>
        </w:tc>
        <w:tc>
          <w:tcPr>
            <w:tcW w:w="428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Cards With 0.25mm To 1.25 Mm</w:t>
            </w:r>
          </w:p>
        </w:tc>
      </w:tr>
      <w:tr>
        <w:trPr>
          <w:trHeight w:val="300" w:hRule="atLeast"/>
        </w:trPr>
        <w:tc>
          <w:tcPr>
            <w:tcW w:w="690"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16</w:t>
            </w:r>
          </w:p>
        </w:tc>
        <w:tc>
          <w:tcPr>
            <w:tcW w:w="4110"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Card Format:</w:t>
            </w:r>
          </w:p>
        </w:tc>
        <w:tc>
          <w:tcPr>
            <w:tcW w:w="428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I</w:t>
            </w:r>
            <w:r>
              <w:rPr>
                <w:rFonts w:eastAsia="Times New Roman" w:cs="Times New Roman"/>
                <w:color w:val="000000" w:themeColor="text1"/>
                <w:sz w:val="20"/>
                <w:szCs w:val="20"/>
                <w:lang w:bidi="bn-BD"/>
              </w:rPr>
              <w:t>SO</w:t>
            </w:r>
            <w:r>
              <w:rPr>
                <w:rFonts w:eastAsia="Times New Roman" w:cs="Times New Roman"/>
                <w:color w:val="000000" w:themeColor="text1"/>
                <w:sz w:val="20"/>
                <w:szCs w:val="20"/>
                <w:lang w:bidi="bn-BD"/>
              </w:rPr>
              <w:t xml:space="preserve"> </w:t>
            </w:r>
            <w:r>
              <w:rPr>
                <w:rFonts w:eastAsia="Times New Roman" w:cs="Times New Roman"/>
                <w:color w:val="000000" w:themeColor="text1"/>
                <w:sz w:val="20"/>
                <w:szCs w:val="20"/>
                <w:lang w:bidi="bn-BD"/>
              </w:rPr>
              <w:t>R</w:t>
            </w:r>
            <w:r>
              <w:rPr>
                <w:rFonts w:eastAsia="Times New Roman" w:cs="Times New Roman"/>
                <w:color w:val="000000" w:themeColor="text1"/>
                <w:sz w:val="20"/>
                <w:szCs w:val="20"/>
                <w:lang w:bidi="bn-BD"/>
              </w:rPr>
              <w:t>r 80- I</w:t>
            </w:r>
            <w:r>
              <w:rPr>
                <w:rFonts w:eastAsia="Times New Roman" w:cs="Times New Roman"/>
                <w:color w:val="000000" w:themeColor="text1"/>
                <w:sz w:val="20"/>
                <w:szCs w:val="20"/>
                <w:lang w:bidi="bn-BD"/>
              </w:rPr>
              <w:t>SO</w:t>
            </w:r>
            <w:r>
              <w:rPr>
                <w:rFonts w:eastAsia="Times New Roman" w:cs="Times New Roman"/>
                <w:color w:val="000000" w:themeColor="text1"/>
                <w:sz w:val="20"/>
                <w:szCs w:val="20"/>
                <w:lang w:bidi="bn-BD"/>
              </w:rPr>
              <w:t xml:space="preserve"> 7810 ( 53.98 Mm X 85.60 Mm)</w:t>
            </w:r>
          </w:p>
        </w:tc>
      </w:tr>
      <w:tr>
        <w:trPr>
          <w:trHeight w:val="300" w:hRule="atLeast"/>
        </w:trPr>
        <w:tc>
          <w:tcPr>
            <w:tcW w:w="690"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17</w:t>
            </w:r>
          </w:p>
        </w:tc>
        <w:tc>
          <w:tcPr>
            <w:tcW w:w="4110"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Card Types:</w:t>
            </w:r>
          </w:p>
        </w:tc>
        <w:tc>
          <w:tcPr>
            <w:tcW w:w="428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P</w:t>
            </w:r>
            <w:r>
              <w:rPr>
                <w:rFonts w:eastAsia="Times New Roman" w:cs="Times New Roman"/>
                <w:color w:val="000000" w:themeColor="text1"/>
                <w:sz w:val="20"/>
                <w:szCs w:val="20"/>
                <w:lang w:bidi="bn-BD"/>
              </w:rPr>
              <w:t>YC</w:t>
            </w:r>
            <w:r>
              <w:rPr>
                <w:rFonts w:eastAsia="Times New Roman" w:cs="Times New Roman"/>
                <w:color w:val="000000" w:themeColor="text1"/>
                <w:sz w:val="20"/>
                <w:szCs w:val="20"/>
                <w:lang w:bidi="bn-BD"/>
              </w:rPr>
              <w:t>, P</w:t>
            </w:r>
            <w:r>
              <w:rPr>
                <w:rFonts w:eastAsia="Times New Roman" w:cs="Times New Roman"/>
                <w:color w:val="000000" w:themeColor="text1"/>
                <w:sz w:val="20"/>
                <w:szCs w:val="20"/>
                <w:lang w:bidi="bn-BD"/>
              </w:rPr>
              <w:t>ET</w:t>
            </w:r>
            <w:r>
              <w:rPr>
                <w:rFonts w:eastAsia="Times New Roman" w:cs="Times New Roman"/>
                <w:color w:val="000000" w:themeColor="text1"/>
                <w:sz w:val="20"/>
                <w:szCs w:val="20"/>
                <w:lang w:bidi="bn-BD"/>
              </w:rPr>
              <w:t>, ABS, Special Varnished</w:t>
            </w:r>
          </w:p>
        </w:tc>
      </w:tr>
      <w:tr>
        <w:trPr>
          <w:trHeight w:val="300" w:hRule="atLeast"/>
        </w:trPr>
        <w:tc>
          <w:tcPr>
            <w:tcW w:w="690"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18</w:t>
            </w:r>
          </w:p>
        </w:tc>
        <w:tc>
          <w:tcPr>
            <w:tcW w:w="4110"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Printing:</w:t>
            </w:r>
          </w:p>
        </w:tc>
        <w:tc>
          <w:tcPr>
            <w:tcW w:w="428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Edge To Edge Printing</w:t>
            </w:r>
          </w:p>
        </w:tc>
      </w:tr>
      <w:tr>
        <w:trPr>
          <w:trHeight w:val="300" w:hRule="atLeast"/>
        </w:trPr>
        <w:tc>
          <w:tcPr>
            <w:tcW w:w="690"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19</w:t>
            </w:r>
          </w:p>
        </w:tc>
        <w:tc>
          <w:tcPr>
            <w:tcW w:w="4110"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Chip Encoder:</w:t>
            </w:r>
          </w:p>
        </w:tc>
        <w:tc>
          <w:tcPr>
            <w:tcW w:w="428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Dual Encoder</w:t>
            </w:r>
          </w:p>
        </w:tc>
      </w:tr>
      <w:tr>
        <w:trPr>
          <w:trHeight w:val="300" w:hRule="atLeast"/>
        </w:trPr>
        <w:tc>
          <w:tcPr>
            <w:tcW w:w="690"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20</w:t>
            </w:r>
          </w:p>
        </w:tc>
        <w:tc>
          <w:tcPr>
            <w:tcW w:w="4110"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Interfaces:</w:t>
            </w:r>
          </w:p>
        </w:tc>
        <w:tc>
          <w:tcPr>
            <w:tcW w:w="4288" w:type="dxa"/>
            <w:tcBorders>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U</w:t>
            </w:r>
            <w:r>
              <w:rPr>
                <w:rFonts w:eastAsia="Times New Roman" w:cs="Times New Roman"/>
                <w:color w:val="000000" w:themeColor="text1"/>
                <w:sz w:val="20"/>
                <w:szCs w:val="20"/>
                <w:lang w:bidi="bn-BD"/>
              </w:rPr>
              <w:t>SB</w:t>
            </w:r>
            <w:r>
              <w:rPr>
                <w:rFonts w:eastAsia="Times New Roman" w:cs="Times New Roman"/>
                <w:color w:val="000000" w:themeColor="text1"/>
                <w:sz w:val="20"/>
                <w:szCs w:val="20"/>
                <w:lang w:bidi="bn-BD"/>
              </w:rPr>
              <w:t xml:space="preserve"> 2.0, Ethernet.</w:t>
            </w:r>
          </w:p>
        </w:tc>
      </w:tr>
      <w:tr>
        <w:trPr>
          <w:trHeight w:val="300" w:hRule="atLeast"/>
        </w:trPr>
        <w:tc>
          <w:tcPr>
            <w:tcW w:w="690" w:type="dxa"/>
            <w:vMerge w:val="restart"/>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r>
          </w:p>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21</w:t>
            </w:r>
          </w:p>
        </w:tc>
        <w:tc>
          <w:tcPr>
            <w:tcW w:w="411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 xml:space="preserve">Control &amp; </w:t>
            </w:r>
            <w:r>
              <w:rPr>
                <w:rFonts w:eastAsia="Times New Roman" w:cs="Times New Roman"/>
                <w:color w:val="000000" w:themeColor="text1"/>
                <w:sz w:val="20"/>
                <w:szCs w:val="20"/>
                <w:lang w:bidi="bn-BD"/>
              </w:rPr>
              <w:t>Display:</w:t>
            </w:r>
          </w:p>
        </w:tc>
        <w:tc>
          <w:tcPr>
            <w:tcW w:w="4288" w:type="dxa"/>
            <w:tcBorders>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Lock System To Prevent Access In The Printer, Consumables.(Opt)</w:t>
            </w:r>
          </w:p>
        </w:tc>
      </w:tr>
      <w:tr>
        <w:trPr>
          <w:trHeight w:val="300" w:hRule="atLeast"/>
        </w:trPr>
        <w:tc>
          <w:tcPr>
            <w:tcW w:w="690" w:type="dxa"/>
            <w:vMerge w:val="continue"/>
            <w:tcBorders>
              <w:left w:val="single" w:sz="8"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r>
          </w:p>
        </w:tc>
        <w:tc>
          <w:tcPr>
            <w:tcW w:w="4110" w:type="dxa"/>
            <w:vMerge w:val="continue"/>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r>
          </w:p>
        </w:tc>
        <w:tc>
          <w:tcPr>
            <w:tcW w:w="4288" w:type="dxa"/>
            <w:tcBorders>
              <w:top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Color L</w:t>
            </w:r>
            <w:r>
              <w:rPr>
                <w:rFonts w:eastAsia="Times New Roman" w:cs="Times New Roman"/>
                <w:color w:val="000000" w:themeColor="text1"/>
                <w:sz w:val="20"/>
                <w:szCs w:val="20"/>
                <w:lang w:bidi="bn-BD"/>
              </w:rPr>
              <w:t>CD</w:t>
            </w:r>
            <w:r>
              <w:rPr>
                <w:rFonts w:eastAsia="Times New Roman" w:cs="Times New Roman"/>
                <w:color w:val="000000" w:themeColor="text1"/>
                <w:sz w:val="20"/>
                <w:szCs w:val="20"/>
                <w:lang w:bidi="bn-BD"/>
              </w:rPr>
              <w:t xml:space="preserve"> Display With Touch Screen &amp; Status Indicator</w:t>
            </w:r>
          </w:p>
        </w:tc>
      </w:tr>
      <w:tr>
        <w:trPr>
          <w:trHeight w:val="300" w:hRule="atLeast"/>
        </w:trPr>
        <w:tc>
          <w:tcPr>
            <w:tcW w:w="690"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22</w:t>
            </w:r>
          </w:p>
        </w:tc>
        <w:tc>
          <w:tcPr>
            <w:tcW w:w="4110" w:type="dxa"/>
            <w:tcBorders>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Operating System:</w:t>
            </w:r>
          </w:p>
        </w:tc>
        <w:tc>
          <w:tcPr>
            <w:tcW w:w="4288" w:type="dxa"/>
            <w:tcBorders>
              <w:top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Windows Xp, Vista, 7, 8, 10 (32/64 Bit ) , Mac &amp; Linux.</w:t>
            </w:r>
          </w:p>
        </w:tc>
      </w:tr>
      <w:tr>
        <w:trPr>
          <w:trHeight w:val="300" w:hRule="atLeast"/>
        </w:trPr>
        <w:tc>
          <w:tcPr>
            <w:tcW w:w="690"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23</w:t>
            </w:r>
          </w:p>
        </w:tc>
        <w:tc>
          <w:tcPr>
            <w:tcW w:w="4110" w:type="dxa"/>
            <w:tcBorders>
              <w:top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 xml:space="preserve">Supporting Card </w:t>
            </w:r>
            <w:r>
              <w:rPr>
                <w:rFonts w:eastAsia="Times New Roman" w:cs="Times New Roman"/>
                <w:color w:val="000000" w:themeColor="text1"/>
                <w:sz w:val="20"/>
                <w:szCs w:val="20"/>
                <w:lang w:bidi="bn-BD"/>
              </w:rPr>
              <w:t>Design Software:</w:t>
            </w:r>
          </w:p>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(The procuring Entity already purchased the Software)</w:t>
            </w:r>
          </w:p>
        </w:tc>
        <w:tc>
          <w:tcPr>
            <w:tcW w:w="4288" w:type="dxa"/>
            <w:tcBorders>
              <w:top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Cardpresso X</w:t>
            </w:r>
            <w:r>
              <w:rPr>
                <w:rFonts w:eastAsia="Times New Roman" w:cs="Times New Roman"/>
                <w:color w:val="000000" w:themeColor="text1"/>
                <w:sz w:val="20"/>
                <w:szCs w:val="20"/>
                <w:lang w:bidi="bn-BD"/>
              </w:rPr>
              <w:t>XS</w:t>
            </w:r>
            <w:r>
              <w:rPr>
                <w:rFonts w:eastAsia="Times New Roman" w:cs="Times New Roman"/>
                <w:color w:val="000000" w:themeColor="text1"/>
                <w:sz w:val="20"/>
                <w:szCs w:val="20"/>
                <w:lang w:bidi="bn-BD"/>
              </w:rPr>
              <w:t xml:space="preserve"> Version (Licensed)</w:t>
            </w:r>
          </w:p>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sz w:val="20"/>
                <w:szCs w:val="20"/>
                <w:lang w:bidi="bn-BD"/>
              </w:rPr>
            </w:r>
          </w:p>
        </w:tc>
      </w:tr>
      <w:tr>
        <w:trPr>
          <w:trHeight w:val="300" w:hRule="atLeast"/>
        </w:trPr>
        <w:tc>
          <w:tcPr>
            <w:tcW w:w="690"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24</w:t>
            </w:r>
          </w:p>
        </w:tc>
        <w:tc>
          <w:tcPr>
            <w:tcW w:w="4110" w:type="dxa"/>
            <w:tcBorders>
              <w:top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Certification &amp; Compliance:</w:t>
            </w:r>
          </w:p>
        </w:tc>
        <w:tc>
          <w:tcPr>
            <w:tcW w:w="4288" w:type="dxa"/>
            <w:tcBorders>
              <w:top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w:t>
            </w:r>
            <w:r>
              <w:rPr>
                <w:rFonts w:eastAsia="Times New Roman" w:cs="Times New Roman"/>
                <w:color w:val="000000" w:themeColor="text1"/>
                <w:sz w:val="20"/>
                <w:szCs w:val="20"/>
                <w:lang w:bidi="bn-BD"/>
              </w:rPr>
              <w:t>E</w:t>
            </w:r>
            <w:r>
              <w:rPr>
                <w:rFonts w:eastAsia="Times New Roman" w:cs="Times New Roman"/>
                <w:color w:val="000000" w:themeColor="text1"/>
                <w:sz w:val="20"/>
                <w:szCs w:val="20"/>
                <w:lang w:bidi="bn-BD"/>
              </w:rPr>
              <w:t>, F</w:t>
            </w:r>
            <w:r>
              <w:rPr>
                <w:rFonts w:eastAsia="Times New Roman" w:cs="Times New Roman"/>
                <w:color w:val="000000" w:themeColor="text1"/>
                <w:sz w:val="20"/>
                <w:szCs w:val="20"/>
                <w:lang w:bidi="bn-BD"/>
              </w:rPr>
              <w:t>CC</w:t>
            </w:r>
            <w:r>
              <w:rPr>
                <w:rFonts w:eastAsia="Times New Roman" w:cs="Times New Roman"/>
                <w:color w:val="000000" w:themeColor="text1"/>
                <w:sz w:val="20"/>
                <w:szCs w:val="20"/>
                <w:lang w:bidi="bn-BD"/>
              </w:rPr>
              <w:t>, I</w:t>
            </w:r>
            <w:r>
              <w:rPr>
                <w:rFonts w:eastAsia="Times New Roman" w:cs="Times New Roman"/>
                <w:color w:val="000000" w:themeColor="text1"/>
                <w:sz w:val="20"/>
                <w:szCs w:val="20"/>
                <w:lang w:bidi="bn-BD"/>
              </w:rPr>
              <w:t>CES</w:t>
            </w:r>
            <w:r>
              <w:rPr>
                <w:rFonts w:eastAsia="Times New Roman" w:cs="Times New Roman"/>
                <w:color w:val="000000" w:themeColor="text1"/>
                <w:sz w:val="20"/>
                <w:szCs w:val="20"/>
                <w:lang w:bidi="bn-BD"/>
              </w:rPr>
              <w:t>, V</w:t>
            </w:r>
            <w:r>
              <w:rPr>
                <w:rFonts w:eastAsia="Times New Roman" w:cs="Times New Roman"/>
                <w:color w:val="000000" w:themeColor="text1"/>
                <w:sz w:val="20"/>
                <w:szCs w:val="20"/>
                <w:lang w:bidi="bn-BD"/>
              </w:rPr>
              <w:t>CCI</w:t>
            </w:r>
            <w:r>
              <w:rPr>
                <w:rFonts w:eastAsia="Times New Roman" w:cs="Times New Roman"/>
                <w:color w:val="000000" w:themeColor="text1"/>
                <w:sz w:val="20"/>
                <w:szCs w:val="20"/>
                <w:lang w:bidi="bn-BD"/>
              </w:rPr>
              <w:t>, C</w:t>
            </w:r>
            <w:r>
              <w:rPr>
                <w:rFonts w:eastAsia="Times New Roman" w:cs="Times New Roman"/>
                <w:color w:val="000000" w:themeColor="text1"/>
                <w:sz w:val="20"/>
                <w:szCs w:val="20"/>
                <w:lang w:bidi="bn-BD"/>
              </w:rPr>
              <w:t>CC</w:t>
            </w:r>
            <w:r>
              <w:rPr>
                <w:rFonts w:eastAsia="Times New Roman" w:cs="Times New Roman"/>
                <w:color w:val="000000" w:themeColor="text1"/>
                <w:sz w:val="20"/>
                <w:szCs w:val="20"/>
                <w:lang w:bidi="bn-BD"/>
              </w:rPr>
              <w:t>, K</w:t>
            </w:r>
            <w:r>
              <w:rPr>
                <w:rFonts w:eastAsia="Times New Roman" w:cs="Times New Roman"/>
                <w:color w:val="000000" w:themeColor="text1"/>
                <w:sz w:val="20"/>
                <w:szCs w:val="20"/>
                <w:lang w:bidi="bn-BD"/>
              </w:rPr>
              <w:t>C</w:t>
            </w:r>
            <w:r>
              <w:rPr>
                <w:rFonts w:eastAsia="Times New Roman" w:cs="Times New Roman"/>
                <w:color w:val="000000" w:themeColor="text1"/>
                <w:sz w:val="20"/>
                <w:szCs w:val="20"/>
                <w:lang w:bidi="bn-BD"/>
              </w:rPr>
              <w:t>, B</w:t>
            </w:r>
            <w:r>
              <w:rPr>
                <w:rFonts w:eastAsia="Times New Roman" w:cs="Times New Roman"/>
                <w:color w:val="000000" w:themeColor="text1"/>
                <w:sz w:val="20"/>
                <w:szCs w:val="20"/>
                <w:lang w:bidi="bn-BD"/>
              </w:rPr>
              <w:t>IS</w:t>
            </w:r>
            <w:r>
              <w:rPr>
                <w:rFonts w:eastAsia="Times New Roman" w:cs="Times New Roman"/>
                <w:color w:val="000000" w:themeColor="text1"/>
                <w:sz w:val="20"/>
                <w:szCs w:val="20"/>
                <w:lang w:bidi="bn-BD"/>
              </w:rPr>
              <w:t>, E</w:t>
            </w:r>
            <w:r>
              <w:rPr>
                <w:rFonts w:eastAsia="Times New Roman" w:cs="Times New Roman"/>
                <w:color w:val="000000" w:themeColor="text1"/>
                <w:sz w:val="20"/>
                <w:szCs w:val="20"/>
                <w:lang w:bidi="bn-BD"/>
              </w:rPr>
              <w:t>AC</w:t>
            </w:r>
            <w:r>
              <w:rPr>
                <w:rFonts w:eastAsia="Times New Roman" w:cs="Times New Roman"/>
                <w:color w:val="000000" w:themeColor="text1"/>
                <w:sz w:val="20"/>
                <w:szCs w:val="20"/>
                <w:lang w:bidi="bn-BD"/>
              </w:rPr>
              <w:t>, R</w:t>
            </w:r>
            <w:r>
              <w:rPr>
                <w:rFonts w:eastAsia="Times New Roman" w:cs="Times New Roman"/>
                <w:color w:val="000000" w:themeColor="text1"/>
                <w:sz w:val="20"/>
                <w:szCs w:val="20"/>
                <w:lang w:bidi="bn-BD"/>
              </w:rPr>
              <w:t>OHS</w:t>
            </w:r>
            <w:r>
              <w:rPr>
                <w:rFonts w:eastAsia="Times New Roman" w:cs="Times New Roman"/>
                <w:color w:val="000000" w:themeColor="text1"/>
                <w:sz w:val="20"/>
                <w:szCs w:val="20"/>
                <w:lang w:bidi="bn-BD"/>
              </w:rPr>
              <w:t>.</w:t>
            </w:r>
          </w:p>
        </w:tc>
      </w:tr>
      <w:tr>
        <w:trPr>
          <w:trHeight w:val="300" w:hRule="atLeast"/>
        </w:trPr>
        <w:tc>
          <w:tcPr>
            <w:tcW w:w="690" w:type="dxa"/>
            <w:tcBorders>
              <w:top w:val="single" w:sz="4" w:space="0" w:color="000000"/>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26</w:t>
            </w:r>
          </w:p>
        </w:tc>
        <w:tc>
          <w:tcPr>
            <w:tcW w:w="4110"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Warr</w:t>
            </w:r>
            <w:r>
              <w:rPr>
                <w:rFonts w:eastAsia="Times New Roman" w:cs="Times New Roman"/>
                <w:color w:val="000000" w:themeColor="text1"/>
                <w:sz w:val="20"/>
                <w:szCs w:val="20"/>
                <w:lang w:bidi="bn-BD"/>
              </w:rPr>
              <w:t>a</w:t>
            </w:r>
            <w:r>
              <w:rPr>
                <w:rFonts w:eastAsia="Times New Roman" w:cs="Times New Roman"/>
                <w:color w:val="000000" w:themeColor="text1"/>
                <w:sz w:val="20"/>
                <w:szCs w:val="20"/>
                <w:lang w:bidi="bn-BD"/>
              </w:rPr>
              <w:t>nty:</w:t>
            </w:r>
          </w:p>
        </w:tc>
        <w:tc>
          <w:tcPr>
            <w:tcW w:w="4288" w:type="dxa"/>
            <w:tcBorders>
              <w:top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3 Years</w:t>
            </w:r>
          </w:p>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 xml:space="preserve">(For Printer, </w:t>
            </w:r>
            <w:r>
              <w:rPr>
                <w:rFonts w:eastAsia="Times New Roman" w:cs="Times New Roman"/>
                <w:color w:val="000000" w:themeColor="text1"/>
                <w:sz w:val="20"/>
                <w:szCs w:val="20"/>
                <w:lang w:bidi="bn-BD"/>
              </w:rPr>
              <w:t>Laminator</w:t>
            </w:r>
            <w:r>
              <w:rPr>
                <w:rFonts w:eastAsia="Times New Roman" w:cs="Times New Roman"/>
                <w:color w:val="000000" w:themeColor="text1"/>
                <w:sz w:val="20"/>
                <w:szCs w:val="20"/>
                <w:lang w:bidi="bn-BD"/>
              </w:rPr>
              <w:t xml:space="preserve"> </w:t>
            </w:r>
            <w:r>
              <w:rPr>
                <w:rFonts w:eastAsia="Times New Roman" w:cs="Times New Roman"/>
                <w:color w:val="000000" w:themeColor="text1"/>
                <w:sz w:val="20"/>
                <w:szCs w:val="20"/>
                <w:lang w:bidi="bn-BD"/>
              </w:rPr>
              <w:t>and all spare parts inclding the Print-head, on-premise support upon call</w:t>
            </w:r>
            <w:r>
              <w:rPr>
                <w:rFonts w:eastAsia="Times New Roman" w:cs="Times New Roman"/>
                <w:color w:val="000000" w:themeColor="text1"/>
                <w:sz w:val="20"/>
                <w:szCs w:val="20"/>
                <w:lang w:bidi="bn-BD"/>
              </w:rPr>
              <w:t>)</w:t>
            </w:r>
          </w:p>
        </w:tc>
      </w:tr>
    </w:tbl>
    <w:p>
      <w:pPr>
        <w:pStyle w:val="Heading1"/>
        <w:rPr>
          <w:rFonts w:ascii="Arial" w:hAnsi="Arial" w:cs="Arial"/>
          <w:sz w:val="32"/>
          <w:lang w:val="en-GB"/>
        </w:rPr>
      </w:pPr>
      <w:r>
        <w:br w:type="page"/>
      </w:r>
      <w:r>
        <w:rPr>
          <w:rFonts w:cs="Arial" w:ascii="Arial" w:hAnsi="Arial"/>
          <w:sz w:val="32"/>
          <w:lang w:val="en-GB"/>
        </w:rPr>
        <w:t xml:space="preserve">Technical Specification of </w:t>
      </w:r>
      <w:r>
        <w:rPr>
          <w:rFonts w:cs="Arial" w:ascii="Arial" w:hAnsi="Arial"/>
          <w:sz w:val="32"/>
          <w:lang w:val="en-GB"/>
        </w:rPr>
        <w:t xml:space="preserve">Lot 1 </w:t>
      </w:r>
      <w:r>
        <w:rPr>
          <w:rFonts w:cs="Arial" w:ascii="Arial" w:hAnsi="Arial"/>
          <w:sz w:val="32"/>
          <w:lang w:val="en-GB"/>
        </w:rPr>
        <w:t xml:space="preserve">Item # </w:t>
      </w:r>
      <w:r>
        <w:rPr>
          <w:rFonts w:cs="Arial" w:ascii="Arial" w:hAnsi="Arial"/>
          <w:sz w:val="32"/>
          <w:lang w:val="en-GB"/>
        </w:rPr>
        <w:t>0</w:t>
      </w:r>
      <w:r>
        <w:rPr>
          <w:rFonts w:cs="Arial" w:ascii="Arial" w:hAnsi="Arial"/>
          <w:sz w:val="32"/>
          <w:lang w:val="en-GB"/>
        </w:rPr>
        <w:t>2</w:t>
      </w:r>
    </w:p>
    <w:p>
      <w:pPr>
        <w:pStyle w:val="Normal"/>
        <w:jc w:val="center"/>
        <w:rPr>
          <w:b/>
          <w:b/>
          <w:bCs/>
        </w:rPr>
      </w:pPr>
      <w:r>
        <w:rPr>
          <w:rFonts w:eastAsia="SimSun" w:cs="Arial" w:ascii="Arial" w:hAnsi="Arial"/>
          <w:b/>
          <w:bCs/>
          <w:color w:val="auto"/>
          <w:kern w:val="0"/>
          <w:sz w:val="22"/>
          <w:szCs w:val="22"/>
          <w:lang w:val="en-GB" w:eastAsia="zh-CN" w:bidi="ar-SA"/>
        </w:rPr>
        <w:t xml:space="preserve">Item Name: </w:t>
      </w:r>
      <w:r>
        <w:rPr>
          <w:rFonts w:eastAsia="SimSun" w:cs="Arial" w:ascii="Arial" w:hAnsi="Arial"/>
          <w:b/>
          <w:bCs/>
          <w:color w:val="auto"/>
          <w:kern w:val="0"/>
          <w:sz w:val="22"/>
          <w:szCs w:val="20"/>
          <w:lang w:val="en-GB" w:eastAsia="zh-CN" w:bidi="he-IL"/>
        </w:rPr>
        <w:t>Register</w:t>
      </w:r>
      <w:r>
        <w:rPr>
          <w:rFonts w:eastAsia="SimSun" w:cs="Arial" w:ascii="Arial" w:hAnsi="Arial"/>
          <w:b/>
          <w:bCs/>
          <w:color w:val="auto"/>
          <w:kern w:val="0"/>
          <w:sz w:val="22"/>
          <w:szCs w:val="20"/>
          <w:lang w:val="en-GB" w:eastAsia="zh-CN" w:bidi="he-IL"/>
        </w:rPr>
        <w:t>e</w:t>
      </w:r>
      <w:r>
        <w:rPr>
          <w:rFonts w:eastAsia="SimSun" w:cs="Arial" w:ascii="Arial" w:hAnsi="Arial"/>
          <w:b/>
          <w:bCs/>
          <w:color w:val="auto"/>
          <w:kern w:val="0"/>
          <w:sz w:val="22"/>
          <w:szCs w:val="20"/>
          <w:lang w:val="en-GB" w:eastAsia="zh-CN" w:bidi="he-IL"/>
        </w:rPr>
        <w:t>d Lamination Film of DU</w:t>
      </w:r>
    </w:p>
    <w:p>
      <w:pPr>
        <w:pStyle w:val="Normal"/>
        <w:rPr>
          <w:rFonts w:ascii="Arial" w:hAnsi="Arial" w:cs="Arial"/>
          <w:sz w:val="32"/>
          <w:lang w:val="en-GB"/>
        </w:rPr>
      </w:pPr>
      <w:r>
        <w:rPr/>
      </w:r>
    </w:p>
    <w:tbl>
      <w:tblPr>
        <w:tblW w:w="9026" w:type="dxa"/>
        <w:jc w:val="left"/>
        <w:tblInd w:w="55" w:type="dxa"/>
        <w:tblLayout w:type="fixed"/>
        <w:tblCellMar>
          <w:top w:w="55" w:type="dxa"/>
          <w:left w:w="55" w:type="dxa"/>
          <w:bottom w:w="55" w:type="dxa"/>
          <w:right w:w="55" w:type="dxa"/>
        </w:tblCellMar>
      </w:tblPr>
      <w:tblGrid>
        <w:gridCol w:w="538"/>
        <w:gridCol w:w="2612"/>
        <w:gridCol w:w="5876"/>
      </w:tblGrid>
      <w:tr>
        <w:trPr/>
        <w:tc>
          <w:tcPr>
            <w:tcW w:w="538" w:type="dxa"/>
            <w:tcBorders>
              <w:top w:val="single" w:sz="2" w:space="0" w:color="000000"/>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SL</w:t>
            </w:r>
          </w:p>
        </w:tc>
        <w:tc>
          <w:tcPr>
            <w:tcW w:w="2612" w:type="dxa"/>
            <w:tcBorders>
              <w:top w:val="single" w:sz="2" w:space="0" w:color="000000"/>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FEATURES</w:t>
            </w:r>
          </w:p>
        </w:tc>
        <w:tc>
          <w:tcPr>
            <w:tcW w:w="587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Basic Requirement/Description</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Brand</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Any Reputed Brand</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2</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Country Of Origin</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U</w:t>
            </w:r>
            <w:r>
              <w:rPr>
                <w:rFonts w:eastAsia="Times New Roman" w:cs="Times New Roman"/>
                <w:color w:val="000000" w:themeColor="text1"/>
                <w:sz w:val="20"/>
                <w:szCs w:val="20"/>
                <w:lang w:bidi="bn-BD"/>
              </w:rPr>
              <w:t>SA</w:t>
            </w:r>
            <w:r>
              <w:rPr>
                <w:rFonts w:eastAsia="Times New Roman" w:cs="Times New Roman"/>
                <w:color w:val="000000" w:themeColor="text1"/>
                <w:sz w:val="20"/>
                <w:szCs w:val="20"/>
                <w:lang w:bidi="bn-BD"/>
              </w:rPr>
              <w:t>/</w:t>
            </w:r>
            <w:r>
              <w:rPr>
                <w:rFonts w:eastAsia="Times New Roman" w:cs="Times New Roman"/>
                <w:color w:val="000000" w:themeColor="text1"/>
                <w:sz w:val="20"/>
                <w:szCs w:val="20"/>
                <w:lang w:bidi="bn-BD"/>
              </w:rPr>
              <w:t>UK/</w:t>
            </w:r>
            <w:r>
              <w:rPr>
                <w:rFonts w:eastAsia="Times New Roman" w:cs="Times New Roman"/>
                <w:color w:val="000000" w:themeColor="text1"/>
                <w:sz w:val="20"/>
                <w:szCs w:val="20"/>
                <w:lang w:bidi="bn-BD"/>
              </w:rPr>
              <w:t>France/Germany</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3</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Country Of Assemble</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U</w:t>
            </w:r>
            <w:r>
              <w:rPr>
                <w:rFonts w:eastAsia="Times New Roman" w:cs="Times New Roman"/>
                <w:color w:val="000000" w:themeColor="text1"/>
                <w:sz w:val="20"/>
                <w:szCs w:val="20"/>
                <w:lang w:bidi="bn-BD"/>
              </w:rPr>
              <w:t>SA</w:t>
            </w:r>
            <w:r>
              <w:rPr>
                <w:rFonts w:eastAsia="Times New Roman" w:cs="Times New Roman"/>
                <w:color w:val="000000" w:themeColor="text1"/>
                <w:sz w:val="20"/>
                <w:szCs w:val="20"/>
                <w:lang w:bidi="bn-BD"/>
              </w:rPr>
              <w:t>/</w:t>
            </w:r>
            <w:r>
              <w:rPr>
                <w:rFonts w:eastAsia="Times New Roman" w:cs="Times New Roman"/>
                <w:color w:val="000000" w:themeColor="text1"/>
                <w:sz w:val="20"/>
                <w:szCs w:val="20"/>
                <w:lang w:bidi="bn-BD"/>
              </w:rPr>
              <w:t>UK/</w:t>
            </w:r>
            <w:r>
              <w:rPr>
                <w:rFonts w:eastAsia="Times New Roman" w:cs="Times New Roman"/>
                <w:color w:val="000000" w:themeColor="text1"/>
                <w:sz w:val="20"/>
                <w:szCs w:val="20"/>
                <w:lang w:bidi="bn-BD"/>
              </w:rPr>
              <w:t>France/Germany</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4</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Type</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Lamination Film</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5</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Capacity</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Minimum 5</w:t>
            </w:r>
            <w:r>
              <w:rPr>
                <w:rFonts w:eastAsia="Times New Roman" w:cs="Times New Roman"/>
                <w:color w:val="000000" w:themeColor="text1"/>
                <w:sz w:val="20"/>
                <w:szCs w:val="20"/>
                <w:lang w:bidi="bn-BD"/>
              </w:rPr>
              <w:t xml:space="preserve">00 Prints (Single Side), </w:t>
            </w:r>
            <w:r>
              <w:rPr>
                <w:rFonts w:eastAsia="Times New Roman" w:cs="Times New Roman"/>
                <w:color w:val="000000" w:themeColor="text1"/>
                <w:sz w:val="20"/>
                <w:szCs w:val="20"/>
                <w:lang w:bidi="bn-BD"/>
              </w:rPr>
              <w:t>25</w:t>
            </w:r>
            <w:r>
              <w:rPr>
                <w:rFonts w:eastAsia="Times New Roman" w:cs="Times New Roman"/>
                <w:color w:val="000000" w:themeColor="text1"/>
                <w:sz w:val="20"/>
                <w:szCs w:val="20"/>
                <w:lang w:bidi="bn-BD"/>
              </w:rPr>
              <w:t>0 Prints (Both Side)</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6</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Product Description</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Registered Hologram Patch Film For Dhaka University</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7</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Materials</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Polyethylene Terephthalate (Pet)</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8</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Thickness</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25 Microns</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9</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Tabour Cycle</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&gt; 5,000</w:t>
            </w:r>
          </w:p>
        </w:tc>
      </w:tr>
      <w:tr>
        <w:trPr/>
        <w:tc>
          <w:tcPr>
            <w:tcW w:w="538" w:type="dxa"/>
            <w:tcBorders>
              <w:left w:val="single" w:sz="2" w:space="0" w:color="000000"/>
              <w:bottom w:val="single" w:sz="2" w:space="0" w:color="000000"/>
            </w:tcBorders>
            <w:vAlign w:val="center"/>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w:t>
            </w:r>
            <w:r>
              <w:rPr>
                <w:rFonts w:eastAsia="Times New Roman" w:cs="Times New Roman"/>
                <w:color w:val="000000" w:themeColor="text1"/>
                <w:sz w:val="20"/>
                <w:szCs w:val="20"/>
                <w:lang w:bidi="bn-BD"/>
              </w:rPr>
              <w:t>0</w:t>
            </w:r>
          </w:p>
        </w:tc>
        <w:tc>
          <w:tcPr>
            <w:tcW w:w="2612" w:type="dxa"/>
            <w:tcBorders>
              <w:left w:val="single" w:sz="2" w:space="0" w:color="000000"/>
              <w:bottom w:val="single" w:sz="2" w:space="0" w:color="000000"/>
            </w:tcBorders>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Security Features</w:t>
            </w:r>
          </w:p>
        </w:tc>
        <w:tc>
          <w:tcPr>
            <w:tcW w:w="5876" w:type="dxa"/>
            <w:tcBorders>
              <w:left w:val="single" w:sz="2" w:space="0" w:color="000000"/>
              <w:bottom w:val="single" w:sz="2" w:space="0" w:color="000000"/>
              <w:right w:val="single" w:sz="2" w:space="0" w:color="000000"/>
            </w:tcBorders>
            <w:vAlign w:val="center"/>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Overt, Covert</w:t>
            </w:r>
          </w:p>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(As Per The Design Of Dhaka University)</w:t>
            </w:r>
          </w:p>
          <w:p>
            <w:pPr>
              <w:pStyle w:val="Normal"/>
              <w:widowControl w:val="false"/>
              <w:spacing w:before="0" w:after="0"/>
              <w:rPr>
                <w:rFonts w:ascii="Times New Roman" w:hAnsi="Times New Roman" w:cs="Times New Roman"/>
                <w:color w:val="000000" w:themeColor="text1"/>
                <w:sz w:val="20"/>
                <w:szCs w:val="20"/>
              </w:rPr>
            </w:pPr>
            <w:r>
              <w:rPr>
                <w:rFonts w:cs="Times New Roman"/>
                <w:color w:val="000000" w:themeColor="text1"/>
                <w:sz w:val="20"/>
                <w:szCs w:val="20"/>
              </w:rPr>
              <w:t xml:space="preserve">Overt 1: </w:t>
            </w:r>
            <w:r>
              <w:rPr>
                <w:rFonts w:cs="Times New Roman"/>
                <w:color w:val="000000" w:themeColor="text1"/>
                <w:sz w:val="20"/>
                <w:szCs w:val="20"/>
              </w:rPr>
              <w:t xml:space="preserve">True Coloring Image </w:t>
            </w:r>
            <w:r>
              <w:rPr>
                <w:rFonts w:cs="Times New Roman"/>
                <w:color w:val="000000" w:themeColor="text1"/>
                <w:sz w:val="20"/>
                <w:szCs w:val="20"/>
              </w:rPr>
              <w:t>X 2</w:t>
            </w:r>
          </w:p>
          <w:p>
            <w:pPr>
              <w:pStyle w:val="Normal"/>
              <w:widowControl w:val="false"/>
              <w:spacing w:before="0" w:after="0"/>
              <w:rPr>
                <w:rFonts w:ascii="Times New Roman" w:hAnsi="Times New Roman" w:cs="Times New Roman"/>
                <w:color w:val="000000" w:themeColor="text1"/>
                <w:sz w:val="20"/>
                <w:szCs w:val="20"/>
              </w:rPr>
            </w:pPr>
            <w:r>
              <w:rPr>
                <w:rFonts w:cs="Times New Roman"/>
                <w:color w:val="000000" w:themeColor="text1"/>
                <w:sz w:val="20"/>
                <w:szCs w:val="20"/>
              </w:rPr>
              <w:t>Overt 2: Latent Effect X 1 (image)</w:t>
            </w:r>
          </w:p>
          <w:p>
            <w:pPr>
              <w:pStyle w:val="Normal"/>
              <w:widowControl w:val="false"/>
              <w:spacing w:before="0" w:after="0"/>
              <w:rPr>
                <w:rFonts w:ascii="Times New Roman" w:hAnsi="Times New Roman" w:cs="Times New Roman"/>
                <w:color w:val="000000" w:themeColor="text1"/>
                <w:sz w:val="20"/>
                <w:szCs w:val="20"/>
              </w:rPr>
            </w:pPr>
            <w:r>
              <w:rPr>
                <w:rFonts w:cs="Times New Roman"/>
                <w:color w:val="000000" w:themeColor="text1"/>
                <w:sz w:val="20"/>
                <w:szCs w:val="20"/>
              </w:rPr>
              <w:t xml:space="preserve">Overt 3: </w:t>
            </w:r>
            <w:r>
              <w:rPr>
                <w:rFonts w:cs="Times New Roman"/>
                <w:color w:val="000000" w:themeColor="text1"/>
                <w:sz w:val="20"/>
                <w:szCs w:val="20"/>
              </w:rPr>
              <w:t xml:space="preserve"> Multiple Channel Effect </w:t>
            </w:r>
            <w:r>
              <w:rPr>
                <w:rFonts w:cs="Times New Roman"/>
                <w:color w:val="000000" w:themeColor="text1"/>
                <w:sz w:val="20"/>
                <w:szCs w:val="20"/>
              </w:rPr>
              <w:t>X 2 (image)</w:t>
            </w:r>
          </w:p>
          <w:p>
            <w:pPr>
              <w:pStyle w:val="Normal"/>
              <w:widowControl w:val="false"/>
              <w:spacing w:before="0" w:after="0"/>
              <w:rPr>
                <w:rFonts w:ascii="Times New Roman" w:hAnsi="Times New Roman" w:cs="Times New Roman"/>
                <w:color w:val="000000" w:themeColor="text1"/>
                <w:sz w:val="20"/>
                <w:szCs w:val="20"/>
              </w:rPr>
            </w:pPr>
            <w:r>
              <w:rPr>
                <w:rFonts w:cs="Times New Roman"/>
                <w:color w:val="000000" w:themeColor="text1"/>
                <w:sz w:val="20"/>
                <w:szCs w:val="20"/>
              </w:rPr>
              <w:t>Overt 4:</w:t>
            </w:r>
            <w:r>
              <w:rPr>
                <w:rFonts w:cs="Times New Roman"/>
                <w:color w:val="000000" w:themeColor="text1"/>
                <w:sz w:val="20"/>
                <w:szCs w:val="20"/>
              </w:rPr>
              <w:t xml:space="preserve"> Wireframe Text </w:t>
            </w:r>
          </w:p>
          <w:p>
            <w:pPr>
              <w:pStyle w:val="Normal"/>
              <w:widowControl w:val="false"/>
              <w:spacing w:before="0" w:after="0"/>
              <w:rPr>
                <w:rFonts w:ascii="Times New Roman" w:hAnsi="Times New Roman" w:cs="Times New Roman"/>
                <w:color w:val="000000" w:themeColor="text1"/>
                <w:sz w:val="20"/>
                <w:szCs w:val="20"/>
              </w:rPr>
            </w:pPr>
            <w:r>
              <w:rPr>
                <w:rFonts w:cs="Times New Roman"/>
                <w:color w:val="000000" w:themeColor="text1"/>
                <w:sz w:val="20"/>
                <w:szCs w:val="20"/>
              </w:rPr>
              <w:t xml:space="preserve">Overt 5: </w:t>
            </w:r>
            <w:r>
              <w:rPr>
                <w:rFonts w:cs="Times New Roman"/>
                <w:color w:val="000000" w:themeColor="text1"/>
                <w:sz w:val="20"/>
                <w:szCs w:val="20"/>
              </w:rPr>
              <w:t>Kinetic Fine Lines</w:t>
            </w:r>
          </w:p>
          <w:p>
            <w:pPr>
              <w:pStyle w:val="Normal"/>
              <w:widowControl w:val="false"/>
              <w:spacing w:before="0" w:after="0"/>
              <w:rPr>
                <w:rFonts w:ascii="Times New Roman" w:hAnsi="Times New Roman" w:cs="Times New Roman"/>
                <w:color w:val="000000" w:themeColor="text1"/>
                <w:sz w:val="20"/>
                <w:szCs w:val="20"/>
              </w:rPr>
            </w:pPr>
            <w:r>
              <w:rPr>
                <w:rFonts w:cs="Times New Roman"/>
                <w:color w:val="000000" w:themeColor="text1"/>
                <w:sz w:val="20"/>
                <w:szCs w:val="20"/>
              </w:rPr>
              <w:t xml:space="preserve">Overt 6: </w:t>
            </w:r>
            <w:r>
              <w:rPr>
                <w:rFonts w:cs="Times New Roman"/>
                <w:color w:val="000000" w:themeColor="text1"/>
                <w:sz w:val="20"/>
                <w:szCs w:val="20"/>
              </w:rPr>
              <w:t xml:space="preserve">Micro Text </w:t>
            </w:r>
            <w:r>
              <w:rPr>
                <w:rFonts w:cs="Times New Roman"/>
                <w:color w:val="000000" w:themeColor="text1"/>
                <w:sz w:val="20"/>
                <w:szCs w:val="20"/>
              </w:rPr>
              <w:t>X 4 (four digit numbers)</w:t>
            </w:r>
          </w:p>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Co</w:t>
            </w:r>
            <w:r>
              <w:rPr>
                <w:rFonts w:eastAsia="Times New Roman" w:cs="Times New Roman"/>
                <w:color w:val="000000" w:themeColor="text1"/>
                <w:sz w:val="20"/>
                <w:szCs w:val="20"/>
                <w:lang w:bidi="bn-BD"/>
              </w:rPr>
              <w:t xml:space="preserve">vert </w:t>
            </w:r>
            <w:r>
              <w:rPr>
                <w:rFonts w:eastAsia="Times New Roman" w:cs="Times New Roman"/>
                <w:color w:val="000000" w:themeColor="text1"/>
                <w:sz w:val="20"/>
                <w:szCs w:val="20"/>
                <w:lang w:bidi="bn-BD"/>
              </w:rPr>
              <w:t>1</w:t>
            </w:r>
            <w:r>
              <w:rPr>
                <w:rFonts w:eastAsia="Times New Roman" w:cs="Times New Roman"/>
                <w:color w:val="000000" w:themeColor="text1"/>
                <w:sz w:val="20"/>
                <w:szCs w:val="20"/>
                <w:lang w:bidi="bn-BD"/>
              </w:rPr>
              <w:t xml:space="preserve">: </w:t>
            </w:r>
            <w:r>
              <w:rPr>
                <w:rFonts w:eastAsia="Times New Roman" w:cs="Times New Roman"/>
                <w:color w:val="000000" w:themeColor="text1"/>
                <w:sz w:val="20"/>
                <w:szCs w:val="20"/>
                <w:lang w:bidi="bn-BD"/>
              </w:rPr>
              <w:t>C</w:t>
            </w:r>
            <w:r>
              <w:rPr>
                <w:rFonts w:eastAsia="Times New Roman" w:cs="Times New Roman"/>
                <w:color w:val="000000" w:themeColor="text1"/>
                <w:sz w:val="20"/>
                <w:szCs w:val="20"/>
                <w:lang w:bidi="bn-BD"/>
              </w:rPr>
              <w:t>LR</w:t>
            </w:r>
            <w:r>
              <w:rPr>
                <w:rFonts w:eastAsia="Times New Roman" w:cs="Times New Roman"/>
                <w:color w:val="000000" w:themeColor="text1"/>
                <w:sz w:val="20"/>
                <w:szCs w:val="20"/>
                <w:lang w:bidi="bn-BD"/>
              </w:rPr>
              <w:t xml:space="preserve"> </w:t>
            </w:r>
            <w:r>
              <w:rPr>
                <w:rFonts w:eastAsia="Times New Roman" w:cs="Times New Roman"/>
                <w:color w:val="000000" w:themeColor="text1"/>
                <w:sz w:val="20"/>
                <w:szCs w:val="20"/>
                <w:lang w:bidi="bn-BD"/>
              </w:rPr>
              <w:t xml:space="preserve">X </w:t>
            </w:r>
            <w:r>
              <w:rPr>
                <w:rFonts w:eastAsia="Times New Roman" w:cs="Times New Roman"/>
                <w:color w:val="000000" w:themeColor="text1"/>
                <w:sz w:val="20"/>
                <w:szCs w:val="20"/>
                <w:lang w:bidi="bn-BD"/>
              </w:rPr>
              <w:t>2</w:t>
            </w:r>
            <w:r>
              <w:rPr>
                <w:rFonts w:eastAsia="Times New Roman" w:cs="Times New Roman"/>
                <w:color w:val="000000" w:themeColor="text1"/>
                <w:sz w:val="20"/>
                <w:szCs w:val="20"/>
                <w:lang w:bidi="bn-BD"/>
              </w:rPr>
              <w:t xml:space="preserve"> (four digit number)</w:t>
            </w:r>
          </w:p>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Co</w:t>
            </w:r>
            <w:r>
              <w:rPr>
                <w:rFonts w:eastAsia="Times New Roman" w:cs="Times New Roman"/>
                <w:color w:val="000000" w:themeColor="text1"/>
                <w:sz w:val="20"/>
                <w:szCs w:val="20"/>
                <w:lang w:bidi="bn-BD"/>
              </w:rPr>
              <w:t xml:space="preserve">vert </w:t>
            </w:r>
            <w:r>
              <w:rPr>
                <w:rFonts w:eastAsia="Times New Roman" w:cs="Times New Roman"/>
                <w:color w:val="000000" w:themeColor="text1"/>
                <w:sz w:val="20"/>
                <w:szCs w:val="20"/>
                <w:lang w:bidi="bn-BD"/>
              </w:rPr>
              <w:t>2</w:t>
            </w:r>
            <w:r>
              <w:rPr>
                <w:rFonts w:eastAsia="Times New Roman" w:cs="Times New Roman"/>
                <w:color w:val="000000" w:themeColor="text1"/>
                <w:sz w:val="20"/>
                <w:szCs w:val="20"/>
                <w:lang w:bidi="bn-BD"/>
              </w:rPr>
              <w:t xml:space="preserve">: </w:t>
            </w:r>
            <w:r>
              <w:rPr>
                <w:rFonts w:eastAsia="Times New Roman" w:cs="Times New Roman"/>
                <w:color w:val="000000" w:themeColor="text1"/>
                <w:sz w:val="20"/>
                <w:szCs w:val="20"/>
                <w:lang w:bidi="bn-BD"/>
              </w:rPr>
              <w:t>D</w:t>
            </w:r>
            <w:r>
              <w:rPr>
                <w:rFonts w:eastAsia="Times New Roman" w:cs="Times New Roman"/>
                <w:color w:val="000000" w:themeColor="text1"/>
                <w:sz w:val="20"/>
                <w:szCs w:val="20"/>
                <w:lang w:bidi="bn-BD"/>
              </w:rPr>
              <w:t>LR</w:t>
            </w:r>
            <w:r>
              <w:rPr>
                <w:rFonts w:eastAsia="Times New Roman" w:cs="Times New Roman"/>
                <w:color w:val="000000" w:themeColor="text1"/>
                <w:sz w:val="20"/>
                <w:szCs w:val="20"/>
                <w:lang w:bidi="bn-BD"/>
              </w:rPr>
              <w:t xml:space="preserve"> </w:t>
            </w:r>
            <w:r>
              <w:rPr>
                <w:rFonts w:eastAsia="Times New Roman" w:cs="Times New Roman"/>
                <w:color w:val="000000" w:themeColor="text1"/>
                <w:sz w:val="20"/>
                <w:szCs w:val="20"/>
                <w:lang w:bidi="bn-BD"/>
              </w:rPr>
              <w:t xml:space="preserve">X 2 </w:t>
            </w:r>
            <w:r>
              <w:rPr>
                <w:rFonts w:eastAsia="Times New Roman" w:cs="Times New Roman"/>
                <w:color w:val="000000" w:themeColor="text1"/>
                <w:sz w:val="20"/>
                <w:szCs w:val="20"/>
                <w:lang w:bidi="bn-BD"/>
              </w:rPr>
              <w:t>(</w:t>
            </w:r>
            <w:r>
              <w:rPr>
                <w:rFonts w:eastAsia="Times New Roman" w:cs="Times New Roman"/>
                <w:color w:val="000000" w:themeColor="text1"/>
                <w:sz w:val="20"/>
                <w:szCs w:val="20"/>
                <w:lang w:bidi="bn-BD"/>
              </w:rPr>
              <w:t xml:space="preserve">two separate </w:t>
            </w:r>
            <w:r>
              <w:rPr>
                <w:rFonts w:eastAsia="Times New Roman" w:cs="Times New Roman"/>
                <w:color w:val="000000" w:themeColor="text1"/>
                <w:sz w:val="20"/>
                <w:szCs w:val="20"/>
                <w:lang w:bidi="bn-BD"/>
              </w:rPr>
              <w:t>four digit number</w:t>
            </w:r>
            <w:r>
              <w:rPr>
                <w:rFonts w:eastAsia="Times New Roman" w:cs="Times New Roman"/>
                <w:color w:val="000000" w:themeColor="text1"/>
                <w:sz w:val="20"/>
                <w:szCs w:val="20"/>
                <w:lang w:bidi="bn-BD"/>
              </w:rPr>
              <w:t>s</w:t>
            </w:r>
            <w:r>
              <w:rPr>
                <w:rFonts w:eastAsia="Times New Roman" w:cs="Times New Roman"/>
                <w:color w:val="000000" w:themeColor="text1"/>
                <w:sz w:val="20"/>
                <w:szCs w:val="20"/>
                <w:lang w:bidi="bn-BD"/>
              </w:rPr>
              <w:t>)</w:t>
            </w:r>
          </w:p>
        </w:tc>
      </w:tr>
    </w:tbl>
    <w:p>
      <w:pPr>
        <w:pStyle w:val="Normal"/>
        <w:rPr>
          <w:rFonts w:ascii="Arial" w:hAnsi="Arial" w:cs="Arial"/>
          <w:sz w:val="32"/>
          <w:lang w:val="en-GB"/>
        </w:rPr>
      </w:pPr>
      <w:r>
        <w:rPr/>
      </w:r>
    </w:p>
    <w:p>
      <w:pPr>
        <w:pStyle w:val="Heading1"/>
        <w:rPr>
          <w:rFonts w:ascii="Arial" w:hAnsi="Arial" w:cs="Arial"/>
          <w:sz w:val="32"/>
          <w:lang w:val="en-GB"/>
        </w:rPr>
      </w:pPr>
      <w:r>
        <w:rPr>
          <w:rFonts w:cs="Arial" w:ascii="Arial" w:hAnsi="Arial"/>
          <w:sz w:val="32"/>
          <w:lang w:val="en-GB"/>
        </w:rPr>
        <w:t xml:space="preserve">Technical Specification of </w:t>
      </w:r>
      <w:r>
        <w:rPr>
          <w:rFonts w:cs="Arial" w:ascii="Arial" w:hAnsi="Arial"/>
          <w:sz w:val="32"/>
          <w:lang w:val="en-GB"/>
        </w:rPr>
        <w:t xml:space="preserve">Lot 1 </w:t>
      </w:r>
      <w:r>
        <w:rPr>
          <w:rFonts w:cs="Arial" w:ascii="Arial" w:hAnsi="Arial"/>
          <w:sz w:val="32"/>
          <w:lang w:val="en-GB"/>
        </w:rPr>
        <w:t xml:space="preserve">Item # </w:t>
      </w:r>
      <w:r>
        <w:rPr>
          <w:rFonts w:cs="Arial" w:ascii="Arial" w:hAnsi="Arial"/>
          <w:sz w:val="32"/>
          <w:lang w:val="en-GB"/>
        </w:rPr>
        <w:t>0</w:t>
      </w:r>
      <w:r>
        <w:rPr>
          <w:rFonts w:cs="Arial" w:ascii="Arial" w:hAnsi="Arial"/>
          <w:sz w:val="32"/>
          <w:lang w:val="en-GB"/>
        </w:rPr>
        <w:t>3</w:t>
      </w:r>
    </w:p>
    <w:p>
      <w:pPr>
        <w:pStyle w:val="Normal"/>
        <w:jc w:val="center"/>
        <w:rPr>
          <w:b/>
          <w:b/>
          <w:bCs/>
        </w:rPr>
      </w:pPr>
      <w:r>
        <w:rPr>
          <w:rFonts w:eastAsia="SimSun" w:cs="Arial" w:ascii="Arial" w:hAnsi="Arial"/>
          <w:b/>
          <w:bCs/>
          <w:color w:val="auto"/>
          <w:kern w:val="0"/>
          <w:sz w:val="22"/>
          <w:szCs w:val="22"/>
          <w:lang w:val="en-GB" w:eastAsia="zh-CN" w:bidi="ar-SA"/>
        </w:rPr>
        <w:t xml:space="preserve">Item Name: </w:t>
      </w:r>
      <w:r>
        <w:rPr>
          <w:rFonts w:eastAsia="SimSun" w:cs="Arial" w:ascii="Arial" w:hAnsi="Arial"/>
          <w:b/>
          <w:bCs/>
          <w:color w:val="auto"/>
          <w:kern w:val="0"/>
          <w:sz w:val="22"/>
          <w:szCs w:val="32"/>
          <w:lang w:val="en-GB" w:eastAsia="zh-CN" w:bidi="he-IL"/>
        </w:rPr>
        <w:t>Color Ribbon (</w:t>
      </w:r>
      <w:r>
        <w:rPr>
          <w:rFonts w:eastAsia="SimSun" w:cs="Arial" w:ascii="Arial" w:hAnsi="Arial"/>
          <w:b/>
          <w:bCs/>
          <w:color w:val="auto"/>
          <w:kern w:val="0"/>
          <w:sz w:val="22"/>
          <w:szCs w:val="32"/>
          <w:lang w:val="en-GB" w:eastAsia="zh-CN" w:bidi="he-IL"/>
        </w:rPr>
        <w:t xml:space="preserve">Same brand as the printer, </w:t>
      </w:r>
      <w:r>
        <w:rPr>
          <w:rFonts w:eastAsia="SimSun" w:cs="Arial" w:ascii="Arial" w:hAnsi="Arial"/>
          <w:b/>
          <w:bCs/>
          <w:color w:val="auto"/>
          <w:kern w:val="0"/>
          <w:sz w:val="22"/>
          <w:szCs w:val="32"/>
          <w:lang w:val="en-GB" w:eastAsia="zh-CN" w:bidi="he-IL"/>
        </w:rPr>
        <w:t>Original)</w:t>
      </w:r>
    </w:p>
    <w:p>
      <w:pPr>
        <w:pStyle w:val="Normal"/>
        <w:rPr>
          <w:rFonts w:ascii="Arial" w:hAnsi="Arial" w:cs="Arial"/>
          <w:sz w:val="32"/>
          <w:lang w:val="en-GB"/>
        </w:rPr>
      </w:pPr>
      <w:r>
        <w:rPr/>
      </w:r>
    </w:p>
    <w:tbl>
      <w:tblPr>
        <w:tblW w:w="9026" w:type="dxa"/>
        <w:jc w:val="left"/>
        <w:tblInd w:w="55" w:type="dxa"/>
        <w:tblLayout w:type="fixed"/>
        <w:tblCellMar>
          <w:top w:w="55" w:type="dxa"/>
          <w:left w:w="55" w:type="dxa"/>
          <w:bottom w:w="55" w:type="dxa"/>
          <w:right w:w="55" w:type="dxa"/>
        </w:tblCellMar>
      </w:tblPr>
      <w:tblGrid>
        <w:gridCol w:w="538"/>
        <w:gridCol w:w="2612"/>
        <w:gridCol w:w="5876"/>
      </w:tblGrid>
      <w:tr>
        <w:trPr/>
        <w:tc>
          <w:tcPr>
            <w:tcW w:w="538" w:type="dxa"/>
            <w:tcBorders>
              <w:top w:val="single" w:sz="2" w:space="0" w:color="000000"/>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SL</w:t>
            </w:r>
          </w:p>
        </w:tc>
        <w:tc>
          <w:tcPr>
            <w:tcW w:w="2612" w:type="dxa"/>
            <w:tcBorders>
              <w:top w:val="single" w:sz="2" w:space="0" w:color="000000"/>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FEATURES</w:t>
            </w:r>
          </w:p>
        </w:tc>
        <w:tc>
          <w:tcPr>
            <w:tcW w:w="587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Basic Requirement/Description</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Brand</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Any Reputed Brand</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2</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Country Of Origin</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U</w:t>
            </w:r>
            <w:r>
              <w:rPr>
                <w:rFonts w:eastAsia="Times New Roman" w:cs="Times New Roman"/>
                <w:color w:val="000000" w:themeColor="text1"/>
                <w:sz w:val="20"/>
                <w:szCs w:val="20"/>
                <w:lang w:bidi="bn-BD"/>
              </w:rPr>
              <w:t>SA</w:t>
            </w:r>
            <w:r>
              <w:rPr>
                <w:rFonts w:eastAsia="Times New Roman" w:cs="Times New Roman"/>
                <w:color w:val="000000" w:themeColor="text1"/>
                <w:sz w:val="20"/>
                <w:szCs w:val="20"/>
                <w:lang w:bidi="bn-BD"/>
              </w:rPr>
              <w:t>/U</w:t>
            </w:r>
            <w:r>
              <w:rPr>
                <w:rFonts w:eastAsia="Times New Roman" w:cs="Times New Roman"/>
                <w:color w:val="000000" w:themeColor="text1"/>
                <w:sz w:val="20"/>
                <w:szCs w:val="20"/>
                <w:lang w:bidi="bn-BD"/>
              </w:rPr>
              <w:t>K</w:t>
            </w:r>
            <w:r>
              <w:rPr>
                <w:rFonts w:eastAsia="Times New Roman" w:cs="Times New Roman"/>
                <w:color w:val="000000" w:themeColor="text1"/>
                <w:sz w:val="20"/>
                <w:szCs w:val="20"/>
                <w:lang w:bidi="bn-BD"/>
              </w:rPr>
              <w:t>/France/Germany</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3</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Country Of Assemble</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U</w:t>
            </w:r>
            <w:r>
              <w:rPr>
                <w:rFonts w:eastAsia="Times New Roman" w:cs="Times New Roman"/>
                <w:color w:val="000000" w:themeColor="text1"/>
                <w:sz w:val="20"/>
                <w:szCs w:val="20"/>
                <w:lang w:bidi="bn-BD"/>
              </w:rPr>
              <w:t>SA</w:t>
            </w:r>
            <w:r>
              <w:rPr>
                <w:rFonts w:eastAsia="Times New Roman" w:cs="Times New Roman"/>
                <w:color w:val="000000" w:themeColor="text1"/>
                <w:sz w:val="20"/>
                <w:szCs w:val="20"/>
                <w:lang w:bidi="bn-BD"/>
              </w:rPr>
              <w:t>/U</w:t>
            </w:r>
            <w:r>
              <w:rPr>
                <w:rFonts w:eastAsia="Times New Roman" w:cs="Times New Roman"/>
                <w:color w:val="000000" w:themeColor="text1"/>
                <w:sz w:val="20"/>
                <w:szCs w:val="20"/>
                <w:lang w:bidi="bn-BD"/>
              </w:rPr>
              <w:t>K</w:t>
            </w:r>
            <w:r>
              <w:rPr>
                <w:rFonts w:eastAsia="Times New Roman" w:cs="Times New Roman"/>
                <w:color w:val="000000" w:themeColor="text1"/>
                <w:sz w:val="20"/>
                <w:szCs w:val="20"/>
                <w:lang w:bidi="bn-BD"/>
              </w:rPr>
              <w:t>/France/Germany</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4</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Type</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Color Ribbon</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5</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Product Description</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Y</w:t>
            </w:r>
            <w:r>
              <w:rPr>
                <w:rFonts w:eastAsia="Times New Roman" w:cs="Times New Roman"/>
                <w:color w:val="000000" w:themeColor="text1"/>
                <w:sz w:val="20"/>
                <w:szCs w:val="20"/>
                <w:lang w:bidi="bn-BD"/>
              </w:rPr>
              <w:t>MCKO</w:t>
            </w:r>
            <w:r>
              <w:rPr>
                <w:rFonts w:eastAsia="Times New Roman" w:cs="Times New Roman"/>
                <w:color w:val="000000" w:themeColor="text1"/>
                <w:sz w:val="20"/>
                <w:szCs w:val="20"/>
                <w:lang w:bidi="bn-BD"/>
              </w:rPr>
              <w:t xml:space="preserve"> 5 Panel</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6</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Materials</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Polyethylene Terephthalate (P</w:t>
            </w:r>
            <w:r>
              <w:rPr>
                <w:rFonts w:eastAsia="Times New Roman" w:cs="Times New Roman"/>
                <w:color w:val="000000" w:themeColor="text1"/>
                <w:sz w:val="20"/>
                <w:szCs w:val="20"/>
                <w:lang w:bidi="bn-BD"/>
              </w:rPr>
              <w:t>ET</w:t>
            </w:r>
            <w:r>
              <w:rPr>
                <w:rFonts w:eastAsia="Times New Roman" w:cs="Times New Roman"/>
                <w:color w:val="000000" w:themeColor="text1"/>
                <w:sz w:val="20"/>
                <w:szCs w:val="20"/>
                <w:lang w:bidi="bn-BD"/>
              </w:rPr>
              <w:t xml:space="preserve">) With Thin Layer </w:t>
            </w:r>
            <w:r>
              <w:rPr>
                <w:rFonts w:eastAsia="Times New Roman" w:cs="Times New Roman"/>
                <w:color w:val="000000" w:themeColor="text1"/>
                <w:sz w:val="20"/>
                <w:szCs w:val="20"/>
                <w:lang w:bidi="bn-BD"/>
              </w:rPr>
              <w:t>o</w:t>
            </w:r>
            <w:r>
              <w:rPr>
                <w:rFonts w:eastAsia="Times New Roman" w:cs="Times New Roman"/>
                <w:color w:val="000000" w:themeColor="text1"/>
                <w:sz w:val="20"/>
                <w:szCs w:val="20"/>
                <w:lang w:bidi="bn-BD"/>
              </w:rPr>
              <w:t>f Specialized Coating</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7</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Print Durability</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3 Years</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8</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Print Capacity</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250</w:t>
            </w:r>
            <w:r>
              <w:rPr>
                <w:rFonts w:eastAsia="Times New Roman" w:cs="Times New Roman"/>
                <w:color w:val="000000" w:themeColor="text1"/>
                <w:sz w:val="20"/>
                <w:szCs w:val="20"/>
                <w:lang w:bidi="bn-BD"/>
              </w:rPr>
              <w:t xml:space="preserve"> Prints (Single Side), 1</w:t>
            </w:r>
            <w:r>
              <w:rPr>
                <w:rFonts w:eastAsia="Times New Roman" w:cs="Times New Roman"/>
                <w:color w:val="000000" w:themeColor="text1"/>
                <w:sz w:val="20"/>
                <w:szCs w:val="20"/>
                <w:lang w:bidi="bn-BD"/>
              </w:rPr>
              <w:t>25</w:t>
            </w:r>
            <w:r>
              <w:rPr>
                <w:rFonts w:eastAsia="Times New Roman" w:cs="Times New Roman"/>
                <w:color w:val="000000" w:themeColor="text1"/>
                <w:sz w:val="20"/>
                <w:szCs w:val="20"/>
                <w:lang w:bidi="bn-BD"/>
              </w:rPr>
              <w:t xml:space="preserve"> Prints (Both Side)</w:t>
            </w:r>
          </w:p>
        </w:tc>
      </w:tr>
    </w:tbl>
    <w:p>
      <w:pPr>
        <w:pStyle w:val="Normal"/>
        <w:rPr>
          <w:rFonts w:ascii="Arial" w:hAnsi="Arial" w:cs="Arial"/>
          <w:sz w:val="32"/>
          <w:lang w:val="en-GB"/>
        </w:rPr>
      </w:pPr>
      <w:r>
        <w:rPr/>
      </w:r>
      <w:r>
        <w:br w:type="page"/>
      </w:r>
    </w:p>
    <w:p>
      <w:pPr>
        <w:pStyle w:val="Heading1"/>
        <w:rPr>
          <w:rFonts w:ascii="Arial" w:hAnsi="Arial" w:cs="Arial"/>
          <w:sz w:val="32"/>
          <w:lang w:val="en-GB"/>
        </w:rPr>
      </w:pPr>
      <w:r>
        <w:rPr>
          <w:rFonts w:cs="Arial" w:ascii="Arial" w:hAnsi="Arial"/>
          <w:sz w:val="32"/>
          <w:lang w:val="en-GB"/>
        </w:rPr>
        <w:t xml:space="preserve">Technical Specification of </w:t>
      </w:r>
      <w:r>
        <w:rPr>
          <w:rFonts w:cs="Arial" w:ascii="Arial" w:hAnsi="Arial"/>
          <w:sz w:val="32"/>
          <w:lang w:val="en-GB"/>
        </w:rPr>
        <w:t xml:space="preserve">Lot </w:t>
      </w:r>
      <w:r>
        <w:rPr>
          <w:rFonts w:cs="Arial" w:ascii="Arial" w:hAnsi="Arial"/>
          <w:sz w:val="32"/>
          <w:lang w:val="en-GB"/>
        </w:rPr>
        <w:t>2</w:t>
      </w:r>
      <w:r>
        <w:rPr>
          <w:rFonts w:cs="Arial" w:ascii="Arial" w:hAnsi="Arial"/>
          <w:sz w:val="32"/>
          <w:lang w:val="en-GB"/>
        </w:rPr>
        <w:t xml:space="preserve"> </w:t>
      </w:r>
      <w:r>
        <w:rPr>
          <w:rFonts w:cs="Arial" w:ascii="Arial" w:hAnsi="Arial"/>
          <w:sz w:val="32"/>
          <w:lang w:val="en-GB"/>
        </w:rPr>
        <w:t xml:space="preserve">Item # </w:t>
      </w:r>
      <w:r>
        <w:rPr>
          <w:rFonts w:cs="Arial" w:ascii="Arial" w:hAnsi="Arial"/>
          <w:sz w:val="32"/>
          <w:lang w:val="en-GB"/>
        </w:rPr>
        <w:t>0</w:t>
      </w:r>
      <w:r>
        <w:rPr>
          <w:rFonts w:cs="Arial" w:ascii="Arial" w:hAnsi="Arial"/>
          <w:sz w:val="32"/>
          <w:lang w:val="en-GB"/>
        </w:rPr>
        <w:t>1</w:t>
      </w:r>
    </w:p>
    <w:p>
      <w:pPr>
        <w:pStyle w:val="Normal"/>
        <w:jc w:val="center"/>
        <w:rPr>
          <w:b/>
          <w:b/>
          <w:bCs/>
        </w:rPr>
      </w:pPr>
      <w:r>
        <w:rPr>
          <w:rFonts w:eastAsia="SimSun" w:cs="Arial" w:ascii="Arial" w:hAnsi="Arial"/>
          <w:b/>
          <w:bCs/>
          <w:color w:val="auto"/>
          <w:kern w:val="0"/>
          <w:sz w:val="22"/>
          <w:szCs w:val="22"/>
          <w:lang w:val="en-GB" w:eastAsia="zh-CN" w:bidi="ar-SA"/>
        </w:rPr>
        <w:t xml:space="preserve">Item Name: </w:t>
      </w:r>
      <w:r>
        <w:rPr>
          <w:rFonts w:eastAsia="SimSun" w:cs="Arial" w:ascii="Arial" w:hAnsi="Arial"/>
          <w:b/>
          <w:bCs/>
          <w:color w:val="auto"/>
          <w:kern w:val="0"/>
          <w:sz w:val="22"/>
          <w:szCs w:val="32"/>
          <w:lang w:val="en-GB" w:eastAsia="zh-CN" w:bidi="he-IL"/>
        </w:rPr>
        <w:t>Contactless NFC PVC Card (8K)</w:t>
      </w:r>
    </w:p>
    <w:p>
      <w:pPr>
        <w:pStyle w:val="Normal"/>
        <w:rPr>
          <w:rFonts w:ascii="Arial" w:hAnsi="Arial" w:cs="Arial"/>
          <w:sz w:val="32"/>
          <w:lang w:val="en-GB"/>
        </w:rPr>
      </w:pPr>
      <w:r>
        <w:rPr/>
      </w:r>
    </w:p>
    <w:tbl>
      <w:tblPr>
        <w:tblW w:w="9026" w:type="dxa"/>
        <w:jc w:val="left"/>
        <w:tblInd w:w="55" w:type="dxa"/>
        <w:tblLayout w:type="fixed"/>
        <w:tblCellMar>
          <w:top w:w="55" w:type="dxa"/>
          <w:left w:w="55" w:type="dxa"/>
          <w:bottom w:w="55" w:type="dxa"/>
          <w:right w:w="55" w:type="dxa"/>
        </w:tblCellMar>
      </w:tblPr>
      <w:tblGrid>
        <w:gridCol w:w="538"/>
        <w:gridCol w:w="2612"/>
        <w:gridCol w:w="5876"/>
      </w:tblGrid>
      <w:tr>
        <w:trPr/>
        <w:tc>
          <w:tcPr>
            <w:tcW w:w="538" w:type="dxa"/>
            <w:tcBorders>
              <w:top w:val="single" w:sz="2" w:space="0" w:color="000000"/>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S/</w:t>
            </w:r>
            <w:r>
              <w:rPr>
                <w:rFonts w:eastAsia="Times New Roman" w:cs="Times New Roman"/>
                <w:color w:val="000000" w:themeColor="text1"/>
                <w:sz w:val="20"/>
                <w:szCs w:val="20"/>
                <w:lang w:bidi="bn-BD"/>
              </w:rPr>
              <w:t>N</w:t>
            </w:r>
          </w:p>
        </w:tc>
        <w:tc>
          <w:tcPr>
            <w:tcW w:w="2612" w:type="dxa"/>
            <w:tcBorders>
              <w:top w:val="single" w:sz="2" w:space="0" w:color="000000"/>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Features</w:t>
            </w:r>
          </w:p>
        </w:tc>
        <w:tc>
          <w:tcPr>
            <w:tcW w:w="587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Basic Requirement</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Brand Name</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Any Reputed Brand</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2</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Model</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 xml:space="preserve">To Be </w:t>
            </w:r>
            <w:r>
              <w:rPr>
                <w:rFonts w:eastAsia="Times New Roman" w:cs="Times New Roman"/>
                <w:color w:val="000000" w:themeColor="text1"/>
                <w:sz w:val="20"/>
                <w:szCs w:val="20"/>
                <w:lang w:bidi="bn-BD"/>
              </w:rPr>
              <w:t>Mentioned By Bidder</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4</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Country Of Origin</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 xml:space="preserve">To Be </w:t>
            </w:r>
            <w:r>
              <w:rPr>
                <w:rFonts w:eastAsia="Times New Roman" w:cs="Times New Roman"/>
                <w:color w:val="000000" w:themeColor="text1"/>
                <w:sz w:val="20"/>
                <w:szCs w:val="20"/>
                <w:lang w:bidi="bn-BD"/>
              </w:rPr>
              <w:t>Mentioned By Bidder</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5</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Country Of Manufacture</w:t>
            </w:r>
          </w:p>
        </w:tc>
        <w:tc>
          <w:tcPr>
            <w:tcW w:w="5876" w:type="dxa"/>
            <w:tcBorders>
              <w:left w:val="single" w:sz="2" w:space="0" w:color="000000"/>
              <w:bottom w:val="single" w:sz="2" w:space="0" w:color="000000"/>
              <w:right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 xml:space="preserve">To Be </w:t>
            </w:r>
            <w:r>
              <w:rPr>
                <w:rFonts w:eastAsia="Times New Roman" w:cs="Times New Roman"/>
                <w:color w:val="000000" w:themeColor="text1"/>
                <w:sz w:val="20"/>
                <w:szCs w:val="20"/>
                <w:lang w:bidi="bn-BD"/>
              </w:rPr>
              <w:t>Mentioned By Bidder</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6</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Chip Type</w:t>
            </w:r>
          </w:p>
        </w:tc>
        <w:tc>
          <w:tcPr>
            <w:tcW w:w="5876" w:type="dxa"/>
            <w:tcBorders>
              <w:left w:val="single" w:sz="2" w:space="0" w:color="000000"/>
              <w:bottom w:val="single" w:sz="2" w:space="0" w:color="000000"/>
              <w:right w:val="single" w:sz="2" w:space="0" w:color="000000"/>
            </w:tcBorders>
          </w:tcPr>
          <w:p>
            <w:pPr>
              <w:pStyle w:val="Normal"/>
              <w:widowControl w:val="false"/>
              <w:spacing w:before="0" w:after="0"/>
              <w:rPr>
                <w:rFonts w:ascii="Times New Roman" w:hAnsi="Times New Roman" w:eastAsia="Times New Roman" w:cs="Times New Roman"/>
                <w:b/>
                <w:b/>
                <w:bCs/>
                <w:color w:val="000000"/>
                <w:sz w:val="20"/>
                <w:szCs w:val="20"/>
                <w:lang w:bidi="bn-BD"/>
              </w:rPr>
            </w:pPr>
            <w:r>
              <w:rPr>
                <w:rFonts w:eastAsia="Times New Roman" w:cs="Times New Roman"/>
                <w:b/>
                <w:bCs/>
                <w:color w:val="000000" w:themeColor="text1"/>
                <w:sz w:val="20"/>
                <w:szCs w:val="20"/>
                <w:lang w:bidi="bn-BD"/>
              </w:rPr>
              <w:t xml:space="preserve">Mifare Desfire </w:t>
            </w:r>
            <w:r>
              <w:rPr>
                <w:rFonts w:eastAsia="Times New Roman" w:cs="Times New Roman"/>
                <w:b/>
                <w:bCs/>
                <w:color w:val="000000" w:themeColor="text1"/>
                <w:sz w:val="20"/>
                <w:szCs w:val="20"/>
                <w:lang w:bidi="bn-BD"/>
              </w:rPr>
              <w:t>Contactless N</w:t>
            </w:r>
            <w:r>
              <w:rPr>
                <w:rFonts w:eastAsia="Times New Roman" w:cs="Times New Roman"/>
                <w:b/>
                <w:bCs/>
                <w:color w:val="000000" w:themeColor="text1"/>
                <w:sz w:val="20"/>
                <w:szCs w:val="20"/>
                <w:lang w:bidi="bn-BD"/>
              </w:rPr>
              <w:t>FC</w:t>
            </w:r>
            <w:r>
              <w:rPr>
                <w:rFonts w:eastAsia="Times New Roman" w:cs="Times New Roman"/>
                <w:b/>
                <w:bCs/>
                <w:color w:val="000000" w:themeColor="text1"/>
                <w:sz w:val="20"/>
                <w:szCs w:val="20"/>
                <w:lang w:bidi="bn-BD"/>
              </w:rPr>
              <w:t xml:space="preserve"> Chip</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7</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Reading Frequency</w:t>
            </w:r>
          </w:p>
        </w:tc>
        <w:tc>
          <w:tcPr>
            <w:tcW w:w="5876" w:type="dxa"/>
            <w:tcBorders>
              <w:left w:val="single" w:sz="2" w:space="0" w:color="000000"/>
              <w:bottom w:val="single" w:sz="2" w:space="0" w:color="000000"/>
              <w:right w:val="single" w:sz="2" w:space="0" w:color="000000"/>
            </w:tcBorders>
          </w:tcPr>
          <w:p>
            <w:pPr>
              <w:pStyle w:val="Normal"/>
              <w:widowControl w:val="false"/>
              <w:spacing w:before="0" w:after="0"/>
              <w:rPr>
                <w:rFonts w:ascii="Times New Roman" w:hAnsi="Times New Roman" w:eastAsia="Times New Roman" w:cs="Times New Roman"/>
                <w:b/>
                <w:b/>
                <w:bCs/>
                <w:color w:val="000000"/>
                <w:sz w:val="20"/>
                <w:szCs w:val="20"/>
                <w:lang w:bidi="bn-BD"/>
              </w:rPr>
            </w:pPr>
            <w:r>
              <w:rPr>
                <w:rFonts w:eastAsia="Times New Roman" w:cs="Times New Roman"/>
                <w:b/>
                <w:bCs/>
                <w:color w:val="000000" w:themeColor="text1"/>
                <w:sz w:val="20"/>
                <w:szCs w:val="20"/>
                <w:lang w:bidi="bn-BD"/>
              </w:rPr>
              <w:t>13.56 M</w:t>
            </w:r>
            <w:r>
              <w:rPr>
                <w:rFonts w:eastAsia="Times New Roman" w:cs="Times New Roman"/>
                <w:b/>
                <w:bCs/>
                <w:color w:val="000000" w:themeColor="text1"/>
                <w:sz w:val="20"/>
                <w:szCs w:val="20"/>
                <w:lang w:bidi="bn-BD"/>
              </w:rPr>
              <w:t>H</w:t>
            </w:r>
            <w:r>
              <w:rPr>
                <w:rFonts w:eastAsia="Times New Roman" w:cs="Times New Roman"/>
                <w:b/>
                <w:bCs/>
                <w:color w:val="000000" w:themeColor="text1"/>
                <w:sz w:val="20"/>
                <w:szCs w:val="20"/>
                <w:lang w:bidi="bn-BD"/>
              </w:rPr>
              <w:t>z</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8</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Radio Frequency Standard</w:t>
            </w:r>
          </w:p>
        </w:tc>
        <w:tc>
          <w:tcPr>
            <w:tcW w:w="5876" w:type="dxa"/>
            <w:tcBorders>
              <w:left w:val="single" w:sz="2" w:space="0" w:color="000000"/>
              <w:bottom w:val="single" w:sz="2" w:space="0" w:color="000000"/>
              <w:right w:val="single" w:sz="2" w:space="0" w:color="000000"/>
            </w:tcBorders>
          </w:tcPr>
          <w:p>
            <w:pPr>
              <w:pStyle w:val="Normal"/>
              <w:widowControl w:val="false"/>
              <w:spacing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I</w:t>
            </w:r>
            <w:r>
              <w:rPr>
                <w:rFonts w:eastAsia="Times New Roman" w:cs="Times New Roman"/>
                <w:color w:val="000000" w:themeColor="text1"/>
                <w:sz w:val="20"/>
                <w:szCs w:val="20"/>
                <w:lang w:bidi="bn-BD"/>
              </w:rPr>
              <w:t>SO</w:t>
            </w:r>
            <w:r>
              <w:rPr>
                <w:rFonts w:eastAsia="Times New Roman" w:cs="Times New Roman"/>
                <w:color w:val="000000" w:themeColor="text1"/>
                <w:sz w:val="20"/>
                <w:szCs w:val="20"/>
                <w:lang w:bidi="bn-BD"/>
              </w:rPr>
              <w:t xml:space="preserve"> 14443 A</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9</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E</w:t>
            </w:r>
            <w:r>
              <w:rPr>
                <w:rFonts w:eastAsia="Times New Roman" w:cs="Times New Roman"/>
                <w:color w:val="000000" w:themeColor="text1"/>
                <w:sz w:val="20"/>
                <w:szCs w:val="20"/>
                <w:lang w:bidi="bn-BD"/>
              </w:rPr>
              <w:t>EPROM</w:t>
            </w:r>
            <w:r>
              <w:rPr>
                <w:rFonts w:eastAsia="Times New Roman" w:cs="Times New Roman"/>
                <w:color w:val="000000" w:themeColor="text1"/>
                <w:sz w:val="20"/>
                <w:szCs w:val="20"/>
                <w:lang w:bidi="bn-BD"/>
              </w:rPr>
              <w:t xml:space="preserve"> Size</w:t>
            </w:r>
          </w:p>
        </w:tc>
        <w:tc>
          <w:tcPr>
            <w:tcW w:w="5876" w:type="dxa"/>
            <w:tcBorders>
              <w:left w:val="single" w:sz="2" w:space="0" w:color="000000"/>
              <w:bottom w:val="single" w:sz="2" w:space="0" w:color="000000"/>
              <w:right w:val="single" w:sz="2" w:space="0" w:color="000000"/>
            </w:tcBorders>
          </w:tcPr>
          <w:p>
            <w:pPr>
              <w:pStyle w:val="Normal"/>
              <w:widowControl w:val="false"/>
              <w:spacing w:before="0" w:after="0"/>
              <w:rPr>
                <w:rFonts w:ascii="Times New Roman" w:hAnsi="Times New Roman" w:eastAsia="Times New Roman" w:cs="Times New Roman"/>
                <w:color w:val="000000" w:themeColor="text1"/>
                <w:sz w:val="20"/>
                <w:szCs w:val="20"/>
                <w:lang w:bidi="bn-BD"/>
              </w:rPr>
            </w:pPr>
            <w:r>
              <w:rPr>
                <w:rFonts w:eastAsia="Times New Roman" w:cs="Times New Roman" w:ascii="Liberation Serif" w:hAnsi="Liberation Serif"/>
                <w:b w:val="false"/>
                <w:bCs w:val="false"/>
                <w:color w:val="auto"/>
                <w:sz w:val="21"/>
                <w:szCs w:val="20"/>
                <w:u w:val="none"/>
                <w:lang w:bidi="bn-BD"/>
              </w:rPr>
              <w:t xml:space="preserve">8KB </w:t>
            </w:r>
            <w:r>
              <w:rPr>
                <w:rFonts w:eastAsia="Times New Roman" w:cs="Times New Roman" w:ascii="Liberation Serif" w:hAnsi="Liberation Serif"/>
                <w:b w:val="false"/>
                <w:bCs w:val="false"/>
                <w:color w:val="auto"/>
                <w:sz w:val="21"/>
                <w:szCs w:val="20"/>
                <w:u w:val="none"/>
                <w:lang w:bidi="bn-BD"/>
              </w:rPr>
              <w:t>(</w:t>
            </w:r>
            <w:r>
              <w:rPr>
                <w:rFonts w:eastAsia="Times New Roman" w:cs="Times New Roman" w:ascii="Liberation Serif" w:hAnsi="Liberation Serif"/>
                <w:b w:val="false"/>
                <w:bCs w:val="false"/>
                <w:color w:val="auto"/>
                <w:sz w:val="21"/>
                <w:szCs w:val="20"/>
                <w:u w:val="none"/>
                <w:lang w:bidi="bn-BD"/>
              </w:rPr>
              <w:t xml:space="preserve">DESFire </w:t>
            </w:r>
            <w:r>
              <w:rPr>
                <w:rFonts w:eastAsia="Times New Roman" w:cs="Times New Roman" w:ascii="Liberation Serif" w:hAnsi="Liberation Serif"/>
                <w:b w:val="false"/>
                <w:bCs w:val="false"/>
                <w:color w:val="auto"/>
                <w:sz w:val="21"/>
                <w:szCs w:val="20"/>
                <w:u w:val="none"/>
                <w:lang w:bidi="bn-BD"/>
              </w:rPr>
              <w:t>EV1</w:t>
            </w:r>
            <w:r>
              <w:rPr>
                <w:rFonts w:eastAsia="Times New Roman" w:cs="Times New Roman" w:ascii="Liberation Serif" w:hAnsi="Liberation Serif"/>
                <w:b w:val="false"/>
                <w:bCs w:val="false"/>
                <w:color w:val="auto"/>
                <w:sz w:val="21"/>
                <w:szCs w:val="20"/>
                <w:u w:val="none"/>
                <w:lang w:bidi="bn-BD"/>
              </w:rPr>
              <w:t>)</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10</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Writing Endurance</w:t>
            </w:r>
          </w:p>
        </w:tc>
        <w:tc>
          <w:tcPr>
            <w:tcW w:w="5876" w:type="dxa"/>
            <w:tcBorders>
              <w:left w:val="single" w:sz="2" w:space="0" w:color="000000"/>
              <w:bottom w:val="single" w:sz="2" w:space="0" w:color="000000"/>
              <w:right w:val="single" w:sz="2" w:space="0" w:color="000000"/>
            </w:tcBorders>
          </w:tcPr>
          <w:p>
            <w:pPr>
              <w:pStyle w:val="Normal"/>
              <w:widowControl w:val="false"/>
              <w:spacing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5,00,000 Times</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11</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Data Retention</w:t>
            </w:r>
          </w:p>
        </w:tc>
        <w:tc>
          <w:tcPr>
            <w:tcW w:w="5876" w:type="dxa"/>
            <w:tcBorders>
              <w:left w:val="single" w:sz="2" w:space="0" w:color="000000"/>
              <w:bottom w:val="single" w:sz="2" w:space="0" w:color="000000"/>
              <w:right w:val="single" w:sz="2" w:space="0" w:color="000000"/>
            </w:tcBorders>
          </w:tcPr>
          <w:p>
            <w:pPr>
              <w:pStyle w:val="Normal"/>
              <w:widowControl w:val="false"/>
              <w:spacing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10 Years</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12</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Operating Distance</w:t>
            </w:r>
          </w:p>
        </w:tc>
        <w:tc>
          <w:tcPr>
            <w:tcW w:w="5876" w:type="dxa"/>
            <w:tcBorders>
              <w:left w:val="single" w:sz="2" w:space="0" w:color="000000"/>
              <w:bottom w:val="single" w:sz="2" w:space="0" w:color="000000"/>
              <w:right w:val="single" w:sz="2" w:space="0" w:color="000000"/>
            </w:tcBorders>
          </w:tcPr>
          <w:p>
            <w:pPr>
              <w:pStyle w:val="Normal"/>
              <w:widowControl w:val="false"/>
              <w:spacing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 xml:space="preserve">Upto 100 </w:t>
            </w:r>
            <w:r>
              <w:rPr>
                <w:rFonts w:eastAsia="Times New Roman" w:cs="Times New Roman"/>
                <w:color w:val="000000" w:themeColor="text1"/>
                <w:sz w:val="20"/>
                <w:szCs w:val="20"/>
                <w:lang w:bidi="bn-BD"/>
              </w:rPr>
              <w:t>m</w:t>
            </w:r>
            <w:r>
              <w:rPr>
                <w:rFonts w:eastAsia="Times New Roman" w:cs="Times New Roman"/>
                <w:color w:val="000000" w:themeColor="text1"/>
                <w:sz w:val="20"/>
                <w:szCs w:val="20"/>
                <w:lang w:bidi="bn-BD"/>
              </w:rPr>
              <w:t>m</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13</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Random Serial Number</w:t>
            </w:r>
          </w:p>
        </w:tc>
        <w:tc>
          <w:tcPr>
            <w:tcW w:w="5876" w:type="dxa"/>
            <w:tcBorders>
              <w:left w:val="single" w:sz="2" w:space="0" w:color="000000"/>
              <w:bottom w:val="single" w:sz="2" w:space="0" w:color="000000"/>
              <w:right w:val="single" w:sz="2" w:space="0" w:color="000000"/>
            </w:tcBorders>
          </w:tcPr>
          <w:p>
            <w:pPr>
              <w:pStyle w:val="Normal"/>
              <w:widowControl w:val="false"/>
              <w:spacing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7, Cascaded</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14</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Random Number Generator</w:t>
            </w:r>
          </w:p>
        </w:tc>
        <w:tc>
          <w:tcPr>
            <w:tcW w:w="5876" w:type="dxa"/>
            <w:tcBorders>
              <w:left w:val="single" w:sz="2" w:space="0" w:color="000000"/>
              <w:bottom w:val="single" w:sz="2" w:space="0" w:color="000000"/>
              <w:right w:val="single" w:sz="2" w:space="0" w:color="000000"/>
            </w:tcBorders>
          </w:tcPr>
          <w:p>
            <w:pPr>
              <w:pStyle w:val="Normal"/>
              <w:widowControl w:val="false"/>
              <w:spacing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Yes</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15</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Access Keys</w:t>
            </w:r>
          </w:p>
        </w:tc>
        <w:tc>
          <w:tcPr>
            <w:tcW w:w="5876" w:type="dxa"/>
            <w:tcBorders>
              <w:left w:val="single" w:sz="2" w:space="0" w:color="000000"/>
              <w:bottom w:val="single" w:sz="2" w:space="0" w:color="000000"/>
              <w:right w:val="single" w:sz="2" w:space="0" w:color="000000"/>
            </w:tcBorders>
          </w:tcPr>
          <w:p>
            <w:pPr>
              <w:pStyle w:val="Normal"/>
              <w:widowControl w:val="false"/>
              <w:spacing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 xml:space="preserve">14 Keys </w:t>
            </w:r>
            <w:r>
              <w:rPr>
                <w:rFonts w:eastAsia="Times New Roman" w:cs="Times New Roman"/>
                <w:color w:val="000000" w:themeColor="text1"/>
                <w:sz w:val="20"/>
                <w:szCs w:val="20"/>
                <w:lang w:bidi="bn-BD"/>
              </w:rPr>
              <w:t>p</w:t>
            </w:r>
            <w:r>
              <w:rPr>
                <w:rFonts w:eastAsia="Times New Roman" w:cs="Times New Roman"/>
                <w:color w:val="000000" w:themeColor="text1"/>
                <w:sz w:val="20"/>
                <w:szCs w:val="20"/>
                <w:lang w:bidi="bn-BD"/>
              </w:rPr>
              <w:t>er Application</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16</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Card Size</w:t>
            </w:r>
          </w:p>
        </w:tc>
        <w:tc>
          <w:tcPr>
            <w:tcW w:w="5876" w:type="dxa"/>
            <w:tcBorders>
              <w:left w:val="single" w:sz="2" w:space="0" w:color="000000"/>
              <w:bottom w:val="single" w:sz="2" w:space="0" w:color="000000"/>
              <w:right w:val="single" w:sz="2" w:space="0" w:color="000000"/>
            </w:tcBorders>
          </w:tcPr>
          <w:p>
            <w:pPr>
              <w:pStyle w:val="Normal"/>
              <w:widowControl w:val="false"/>
              <w:spacing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I</w:t>
            </w:r>
            <w:r>
              <w:rPr>
                <w:rFonts w:eastAsia="Times New Roman" w:cs="Times New Roman"/>
                <w:color w:val="000000" w:themeColor="text1"/>
                <w:sz w:val="20"/>
                <w:szCs w:val="20"/>
                <w:lang w:bidi="bn-BD"/>
              </w:rPr>
              <w:t>SO</w:t>
            </w:r>
            <w:r>
              <w:rPr>
                <w:rFonts w:eastAsia="Times New Roman" w:cs="Times New Roman"/>
                <w:color w:val="000000" w:themeColor="text1"/>
                <w:sz w:val="20"/>
                <w:szCs w:val="20"/>
                <w:lang w:bidi="bn-BD"/>
              </w:rPr>
              <w:t xml:space="preserve"> C</w:t>
            </w:r>
            <w:r>
              <w:rPr>
                <w:rFonts w:eastAsia="Times New Roman" w:cs="Times New Roman"/>
                <w:color w:val="000000" w:themeColor="text1"/>
                <w:sz w:val="20"/>
                <w:szCs w:val="20"/>
                <w:lang w:bidi="bn-BD"/>
              </w:rPr>
              <w:t>R</w:t>
            </w:r>
            <w:r>
              <w:rPr>
                <w:rFonts w:eastAsia="Times New Roman" w:cs="Times New Roman"/>
                <w:color w:val="000000" w:themeColor="text1"/>
                <w:sz w:val="20"/>
                <w:szCs w:val="20"/>
                <w:lang w:bidi="bn-BD"/>
              </w:rPr>
              <w:t>-80</w:t>
            </w:r>
          </w:p>
        </w:tc>
      </w:tr>
      <w:tr>
        <w:trPr/>
        <w:tc>
          <w:tcPr>
            <w:tcW w:w="538" w:type="dxa"/>
            <w:tcBorders>
              <w:left w:val="single" w:sz="2" w:space="0" w:color="000000"/>
              <w:bottom w:val="single" w:sz="2" w:space="0" w:color="000000"/>
            </w:tcBorders>
          </w:tcPr>
          <w:p>
            <w:pPr>
              <w:pStyle w:val="Normal"/>
              <w:widowControl w:val="false"/>
              <w:spacing w:lineRule="auto" w:line="240" w:before="0" w:after="0"/>
              <w:jc w:val="center"/>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17</w:t>
            </w:r>
          </w:p>
        </w:tc>
        <w:tc>
          <w:tcPr>
            <w:tcW w:w="2612" w:type="dxa"/>
            <w:tcBorders>
              <w:left w:val="single" w:sz="2" w:space="0" w:color="000000"/>
              <w:bottom w:val="single" w:sz="2" w:space="0" w:color="000000"/>
            </w:tcBorders>
          </w:tcPr>
          <w:p>
            <w:pPr>
              <w:pStyle w:val="Normal"/>
              <w:widowControl w:val="false"/>
              <w:spacing w:lineRule="auto" w:line="240"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Card Materials</w:t>
            </w:r>
          </w:p>
        </w:tc>
        <w:tc>
          <w:tcPr>
            <w:tcW w:w="5876" w:type="dxa"/>
            <w:tcBorders>
              <w:left w:val="single" w:sz="2" w:space="0" w:color="000000"/>
              <w:bottom w:val="single" w:sz="2" w:space="0" w:color="000000"/>
              <w:right w:val="single" w:sz="2" w:space="0" w:color="000000"/>
            </w:tcBorders>
          </w:tcPr>
          <w:p>
            <w:pPr>
              <w:pStyle w:val="Normal"/>
              <w:widowControl w:val="false"/>
              <w:spacing w:before="0" w:after="0"/>
              <w:rPr>
                <w:rFonts w:ascii="Times New Roman" w:hAnsi="Times New Roman" w:eastAsia="Times New Roman" w:cs="Times New Roman"/>
                <w:color w:val="000000" w:themeColor="text1"/>
                <w:sz w:val="20"/>
                <w:szCs w:val="20"/>
                <w:lang w:bidi="bn-BD"/>
              </w:rPr>
            </w:pPr>
            <w:r>
              <w:rPr>
                <w:rFonts w:eastAsia="Times New Roman" w:cs="Times New Roman"/>
                <w:color w:val="000000" w:themeColor="text1"/>
                <w:sz w:val="20"/>
                <w:szCs w:val="20"/>
                <w:lang w:bidi="bn-BD"/>
              </w:rPr>
              <w:t>White P</w:t>
            </w:r>
            <w:r>
              <w:rPr>
                <w:rFonts w:eastAsia="Times New Roman" w:cs="Times New Roman"/>
                <w:color w:val="000000" w:themeColor="text1"/>
                <w:sz w:val="20"/>
                <w:szCs w:val="20"/>
                <w:lang w:bidi="bn-BD"/>
              </w:rPr>
              <w:t>VC</w:t>
            </w:r>
          </w:p>
        </w:tc>
      </w:tr>
    </w:tbl>
    <w:p>
      <w:pPr>
        <w:pStyle w:val="Normal"/>
        <w:rPr>
          <w:rFonts w:ascii="Arial" w:hAnsi="Arial" w:cs="Arial"/>
          <w:sz w:val="32"/>
          <w:lang w:val="en-GB"/>
        </w:rPr>
      </w:pPr>
      <w:r>
        <w:rPr/>
      </w:r>
      <w:r>
        <w:br w:type="page"/>
      </w:r>
    </w:p>
    <w:p>
      <w:pPr>
        <w:pStyle w:val="Heading1"/>
        <w:rPr>
          <w:rFonts w:ascii="Arial" w:hAnsi="Arial" w:cs="Arial"/>
          <w:sz w:val="32"/>
          <w:lang w:val="en-GB"/>
        </w:rPr>
      </w:pPr>
      <w:bookmarkStart w:id="819" w:name="_Toc421454339"/>
      <w:r>
        <w:rPr>
          <w:rFonts w:cs="Arial" w:ascii="Arial" w:hAnsi="Arial"/>
          <w:sz w:val="32"/>
          <w:lang w:val="en-GB"/>
        </w:rPr>
        <w:t>Section 8.Drawings</w:t>
      </w:r>
      <w:bookmarkEnd w:id="819"/>
    </w:p>
    <w:p>
      <w:pPr>
        <w:pStyle w:val="Normal"/>
        <w:rPr>
          <w:rFonts w:ascii="Arial" w:hAnsi="Arial" w:cs="Arial"/>
          <w:sz w:val="22"/>
          <w:szCs w:val="22"/>
          <w:lang w:val="en-GB"/>
        </w:rPr>
      </w:pPr>
      <w:r>
        <w:rPr>
          <w:rFonts w:cs="Arial" w:ascii="Arial" w:hAnsi="Arial"/>
          <w:sz w:val="22"/>
          <w:szCs w:val="22"/>
          <w:lang w:val="en-GB"/>
        </w:rPr>
      </w:r>
    </w:p>
    <w:tbl>
      <w:tblPr>
        <w:tblpPr w:vertAnchor="text" w:horzAnchor="page" w:leftFromText="180" w:rightFromText="180" w:tblpX="2052" w:tblpY="124"/>
        <w:tblW w:w="8568" w:type="dxa"/>
        <w:jc w:val="left"/>
        <w:tblInd w:w="108" w:type="dxa"/>
        <w:tblLayout w:type="fixed"/>
        <w:tblCellMar>
          <w:top w:w="0" w:type="dxa"/>
          <w:left w:w="108" w:type="dxa"/>
          <w:bottom w:w="0" w:type="dxa"/>
          <w:right w:w="108" w:type="dxa"/>
        </w:tblCellMar>
        <w:tblLook w:val="0000" w:noHBand="0" w:noVBand="0" w:firstColumn="0" w:lastRow="0" w:lastColumn="0" w:firstRow="0"/>
      </w:tblPr>
      <w:tblGrid>
        <w:gridCol w:w="8568"/>
      </w:tblGrid>
      <w:tr>
        <w:trPr/>
        <w:tc>
          <w:tcPr>
            <w:tcW w:w="8568" w:type="dxa"/>
            <w:tcBorders>
              <w:top w:val="single" w:sz="6" w:space="0" w:color="000000"/>
              <w:left w:val="single" w:sz="6" w:space="0" w:color="000000"/>
              <w:bottom w:val="single" w:sz="6" w:space="0" w:color="000000"/>
              <w:right w:val="single" w:sz="6" w:space="0" w:color="000000"/>
            </w:tcBorders>
          </w:tcPr>
          <w:p>
            <w:pPr>
              <w:pStyle w:val="Normal"/>
              <w:widowControl w:val="false"/>
              <w:rPr>
                <w:rFonts w:ascii="Arial" w:hAnsi="Arial" w:cs="Arial"/>
                <w:sz w:val="22"/>
                <w:szCs w:val="22"/>
                <w:lang w:val="en-GB"/>
              </w:rPr>
            </w:pPr>
            <w:r>
              <w:rPr>
                <w:rFonts w:cs="Arial" w:ascii="Arial" w:hAnsi="Arial"/>
                <w:sz w:val="22"/>
                <w:szCs w:val="22"/>
                <w:lang w:val="en-GB"/>
              </w:rPr>
            </w:r>
          </w:p>
          <w:p>
            <w:pPr>
              <w:pStyle w:val="Normal"/>
              <w:widowControl w:val="false"/>
              <w:jc w:val="center"/>
              <w:rPr>
                <w:rFonts w:ascii="Arial" w:hAnsi="Arial" w:cs="Arial"/>
                <w:b/>
                <w:b/>
                <w:bCs/>
                <w:sz w:val="22"/>
                <w:szCs w:val="22"/>
                <w:lang w:val="en-GB"/>
              </w:rPr>
            </w:pPr>
            <w:r>
              <w:rPr>
                <w:rFonts w:cs="Arial" w:ascii="Arial" w:hAnsi="Arial"/>
                <w:b/>
                <w:bCs/>
                <w:sz w:val="22"/>
                <w:szCs w:val="22"/>
                <w:lang w:val="en-GB"/>
              </w:rPr>
              <w:t>Notes on Drawings</w:t>
            </w:r>
          </w:p>
          <w:p>
            <w:pPr>
              <w:pStyle w:val="Normal"/>
              <w:widowControl w:val="false"/>
              <w:rPr>
                <w:rFonts w:ascii="Arial" w:hAnsi="Arial" w:cs="Arial"/>
                <w:sz w:val="22"/>
                <w:szCs w:val="22"/>
                <w:lang w:val="en-GB"/>
              </w:rPr>
            </w:pPr>
            <w:r>
              <w:rPr>
                <w:rFonts w:cs="Arial" w:ascii="Arial" w:hAnsi="Arial"/>
                <w:sz w:val="22"/>
                <w:szCs w:val="22"/>
                <w:lang w:val="en-GB"/>
              </w:rPr>
            </w:r>
          </w:p>
          <w:p>
            <w:pPr>
              <w:pStyle w:val="Normal"/>
              <w:widowControl w:val="false"/>
              <w:jc w:val="both"/>
              <w:rPr>
                <w:rFonts w:ascii="Arial" w:hAnsi="Arial" w:cs="Arial"/>
                <w:i/>
                <w:i/>
                <w:iCs/>
                <w:sz w:val="22"/>
                <w:szCs w:val="22"/>
                <w:lang w:val="en-GB"/>
              </w:rPr>
            </w:pPr>
            <w:r>
              <w:rPr>
                <w:rFonts w:cs="Arial" w:ascii="Arial" w:hAnsi="Arial"/>
                <w:i/>
                <w:iCs/>
                <w:sz w:val="22"/>
                <w:szCs w:val="22"/>
                <w:lang w:val="en-GB"/>
              </w:rPr>
              <w:t>[Insert here a list of Drawings, including site plans, which should be attached to this section or annexed in a separate folder. The Drawings shall be clearly dated, numbered and show any revision number(s), if appropriate.]</w:t>
            </w:r>
          </w:p>
          <w:p>
            <w:pPr>
              <w:pStyle w:val="Normal"/>
              <w:widowControl w:val="false"/>
              <w:rPr>
                <w:rFonts w:ascii="Arial" w:hAnsi="Arial" w:cs="Arial"/>
                <w:sz w:val="22"/>
                <w:szCs w:val="22"/>
                <w:lang w:val="en-GB"/>
              </w:rPr>
            </w:pPr>
            <w:r>
              <w:rPr>
                <w:rFonts w:cs="Arial" w:ascii="Arial" w:hAnsi="Arial"/>
                <w:sz w:val="22"/>
                <w:szCs w:val="22"/>
                <w:lang w:val="en-GB"/>
              </w:rPr>
            </w:r>
          </w:p>
        </w:tc>
      </w:tr>
    </w:tbl>
    <w:p>
      <w:pPr>
        <w:pStyle w:val="Normal"/>
        <w:jc w:val="both"/>
        <w:rPr>
          <w:rFonts w:ascii="Arial" w:hAnsi="Arial" w:cs="Arial"/>
          <w:lang w:val="en-GB"/>
        </w:rPr>
      </w:pPr>
      <w:r>
        <w:rPr>
          <w:rFonts w:cs="Arial" w:ascii="Arial" w:hAnsi="Arial"/>
          <w:lang w:val="en-GB"/>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center"/>
        <w:rPr>
          <w:sz w:val="28"/>
          <w:szCs w:val="28"/>
          <w:lang w:val="en-GB"/>
        </w:rPr>
      </w:pPr>
      <w:r>
        <w:rPr>
          <w:sz w:val="28"/>
          <w:szCs w:val="28"/>
          <w:lang w:val="en-GB"/>
        </w:rPr>
      </w:r>
    </w:p>
    <w:p>
      <w:pPr>
        <w:pStyle w:val="Normal"/>
        <w:jc w:val="center"/>
        <w:rPr>
          <w:sz w:val="28"/>
          <w:szCs w:val="28"/>
          <w:lang w:val="en-GB"/>
        </w:rPr>
      </w:pPr>
      <w:r>
        <w:rPr>
          <w:sz w:val="28"/>
          <w:szCs w:val="28"/>
          <w:lang w:val="en-GB"/>
        </w:rPr>
      </w:r>
    </w:p>
    <w:p>
      <w:pPr>
        <w:pStyle w:val="Normal"/>
        <w:jc w:val="center"/>
        <w:rPr>
          <w:sz w:val="28"/>
          <w:szCs w:val="28"/>
          <w:lang w:val="en-GB"/>
        </w:rPr>
      </w:pPr>
      <w:r>
        <w:rPr/>
      </w:r>
      <w:r>
        <w:br w:type="page"/>
      </w:r>
    </w:p>
    <w:p>
      <w:pPr>
        <w:pStyle w:val="Normal"/>
        <w:jc w:val="center"/>
        <w:rPr>
          <w:sz w:val="28"/>
          <w:szCs w:val="28"/>
          <w:lang w:val="en-GB"/>
        </w:rPr>
      </w:pPr>
      <w:r>
        <w:rPr>
          <w:sz w:val="28"/>
          <w:szCs w:val="28"/>
          <w:lang w:val="en-GB"/>
        </w:rPr>
        <w:t>FORMAT</w:t>
      </w:r>
    </w:p>
    <w:p>
      <w:pPr>
        <w:pStyle w:val="Normal"/>
        <w:jc w:val="center"/>
        <w:rPr>
          <w:rFonts w:ascii="Tahoma" w:hAnsi="Tahoma" w:cs="Tahoma"/>
          <w:b/>
          <w:b/>
          <w:sz w:val="32"/>
          <w:szCs w:val="32"/>
        </w:rPr>
      </w:pPr>
      <w:r>
        <w:rPr>
          <w:rFonts w:cs="Tahoma" w:ascii="Tahoma" w:hAnsi="Tahoma"/>
          <w:b/>
          <w:sz w:val="32"/>
          <w:szCs w:val="32"/>
        </w:rPr>
        <w:t>LOGO</w:t>
      </w:r>
    </w:p>
    <w:p>
      <w:pPr>
        <w:pStyle w:val="Normal"/>
        <w:jc w:val="center"/>
        <w:rPr>
          <w:b/>
          <w:b/>
        </w:rPr>
      </w:pPr>
      <w:r>
        <w:rPr>
          <w:b/>
        </w:rPr>
        <w:t>[Insert Full Contact Details of the Procuring Entity]</w:t>
      </w:r>
    </w:p>
    <w:p>
      <w:pPr>
        <w:pStyle w:val="Title"/>
        <w:rPr>
          <w:rFonts w:ascii="Arial" w:hAnsi="Arial" w:cs="Arial"/>
          <w:sz w:val="36"/>
          <w:szCs w:val="36"/>
        </w:rPr>
      </w:pPr>
      <w:r>
        <w:rPr>
          <w:rFonts w:cs="Arial" w:ascii="Arial" w:hAnsi="Arial"/>
          <w:sz w:val="36"/>
          <w:szCs w:val="36"/>
        </w:rPr>
        <w:t>CONTRACT AMENDMENT</w:t>
      </w:r>
    </w:p>
    <w:p>
      <w:pPr>
        <w:pStyle w:val="Subtitle"/>
        <w:rPr>
          <w:rFonts w:ascii="Arial" w:hAnsi="Arial" w:cs="Arial"/>
          <w:sz w:val="18"/>
          <w:lang w:val="en-GB"/>
        </w:rPr>
      </w:pPr>
      <w:r>
        <w:rPr>
          <w:rFonts w:cs="Arial" w:ascii="Arial" w:hAnsi="Arial"/>
          <w:sz w:val="18"/>
          <w:lang w:val="en-GB"/>
        </w:rPr>
      </w:r>
    </w:p>
    <w:tbl>
      <w:tblPr>
        <w:tblW w:w="8141" w:type="dxa"/>
        <w:jc w:val="left"/>
        <w:tblInd w:w="439" w:type="dxa"/>
        <w:tblLayout w:type="fixed"/>
        <w:tblCellMar>
          <w:top w:w="0" w:type="dxa"/>
          <w:left w:w="108" w:type="dxa"/>
          <w:bottom w:w="0" w:type="dxa"/>
          <w:right w:w="108" w:type="dxa"/>
        </w:tblCellMar>
        <w:tblLook w:val="0000" w:noHBand="0" w:noVBand="0" w:firstColumn="0" w:lastRow="0" w:lastColumn="0" w:firstRow="0"/>
      </w:tblPr>
      <w:tblGrid>
        <w:gridCol w:w="3190"/>
        <w:gridCol w:w="4950"/>
      </w:tblGrid>
      <w:tr>
        <w:trPr>
          <w:trHeight w:val="357" w:hRule="atLeast"/>
        </w:trPr>
        <w:tc>
          <w:tcPr>
            <w:tcW w:w="319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216" w:leader="none"/>
                <w:tab w:val="left" w:pos="360" w:leader="none"/>
                <w:tab w:val="left" w:pos="792" w:leader="none"/>
                <w:tab w:val="left" w:pos="1368" w:leader="none"/>
                <w:tab w:val="left" w:pos="1800" w:leader="none"/>
                <w:tab w:val="left" w:pos="1944"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s>
              <w:spacing w:before="120" w:after="0"/>
              <w:rPr>
                <w:rFonts w:ascii="Arial" w:hAnsi="Arial" w:cs="Arial"/>
                <w:b/>
                <w:b/>
                <w:sz w:val="22"/>
              </w:rPr>
            </w:pPr>
            <w:r>
              <w:rPr>
                <w:rFonts w:cs="Arial" w:ascii="Arial" w:hAnsi="Arial"/>
                <w:b/>
                <w:sz w:val="22"/>
              </w:rPr>
              <w:t>Contract No.</w:t>
            </w:r>
          </w:p>
        </w:tc>
        <w:tc>
          <w:tcPr>
            <w:tcW w:w="495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216" w:leader="none"/>
                <w:tab w:val="left" w:pos="360" w:leader="none"/>
                <w:tab w:val="left" w:pos="792" w:leader="none"/>
                <w:tab w:val="left" w:pos="1368" w:leader="none"/>
                <w:tab w:val="left" w:pos="1800" w:leader="none"/>
                <w:tab w:val="left" w:pos="1944"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s>
              <w:spacing w:before="120" w:after="0"/>
              <w:jc w:val="center"/>
              <w:rPr>
                <w:sz w:val="22"/>
              </w:rPr>
            </w:pPr>
            <w:r>
              <w:rPr>
                <w:sz w:val="22"/>
              </w:rPr>
            </w:r>
          </w:p>
        </w:tc>
      </w:tr>
      <w:tr>
        <w:trPr>
          <w:trHeight w:val="357" w:hRule="atLeast"/>
        </w:trPr>
        <w:tc>
          <w:tcPr>
            <w:tcW w:w="319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216" w:leader="none"/>
                <w:tab w:val="left" w:pos="360" w:leader="none"/>
                <w:tab w:val="left" w:pos="792" w:leader="none"/>
                <w:tab w:val="left" w:pos="1368" w:leader="none"/>
                <w:tab w:val="left" w:pos="1800" w:leader="none"/>
                <w:tab w:val="left" w:pos="1944"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s>
              <w:spacing w:before="120" w:after="0"/>
              <w:rPr>
                <w:rFonts w:ascii="Arial" w:hAnsi="Arial" w:cs="Arial"/>
                <w:b/>
                <w:b/>
                <w:sz w:val="22"/>
              </w:rPr>
            </w:pPr>
            <w:r>
              <w:rPr>
                <w:rFonts w:cs="Arial" w:ascii="Arial" w:hAnsi="Arial"/>
                <w:b/>
                <w:sz w:val="22"/>
              </w:rPr>
              <w:t>Amendment No.</w:t>
            </w:r>
          </w:p>
        </w:tc>
        <w:tc>
          <w:tcPr>
            <w:tcW w:w="495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216" w:leader="none"/>
                <w:tab w:val="left" w:pos="360" w:leader="none"/>
                <w:tab w:val="left" w:pos="792" w:leader="none"/>
                <w:tab w:val="left" w:pos="1368" w:leader="none"/>
                <w:tab w:val="left" w:pos="1800" w:leader="none"/>
                <w:tab w:val="left" w:pos="1944"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s>
              <w:spacing w:before="120" w:after="0"/>
              <w:jc w:val="center"/>
              <w:rPr>
                <w:sz w:val="22"/>
              </w:rPr>
            </w:pPr>
            <w:r>
              <w:rPr>
                <w:sz w:val="22"/>
              </w:rPr>
            </w:r>
          </w:p>
        </w:tc>
      </w:tr>
      <w:tr>
        <w:trPr>
          <w:trHeight w:val="388" w:hRule="atLeast"/>
        </w:trPr>
        <w:tc>
          <w:tcPr>
            <w:tcW w:w="319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216" w:leader="none"/>
                <w:tab w:val="left" w:pos="360" w:leader="none"/>
                <w:tab w:val="left" w:pos="792" w:leader="none"/>
                <w:tab w:val="left" w:pos="1368" w:leader="none"/>
                <w:tab w:val="left" w:pos="1800" w:leader="none"/>
                <w:tab w:val="left" w:pos="1944"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s>
              <w:spacing w:before="120" w:after="0"/>
              <w:rPr>
                <w:rFonts w:ascii="Arial" w:hAnsi="Arial" w:cs="Arial"/>
                <w:b/>
                <w:b/>
                <w:sz w:val="22"/>
              </w:rPr>
            </w:pPr>
            <w:r>
              <w:rPr>
                <w:rFonts w:cs="Arial" w:ascii="Arial" w:hAnsi="Arial"/>
                <w:b/>
                <w:sz w:val="22"/>
              </w:rPr>
              <w:t>Approval  Reference No.</w:t>
            </w:r>
          </w:p>
        </w:tc>
        <w:tc>
          <w:tcPr>
            <w:tcW w:w="495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216" w:leader="none"/>
                <w:tab w:val="left" w:pos="360" w:leader="none"/>
                <w:tab w:val="left" w:pos="792" w:leader="none"/>
                <w:tab w:val="left" w:pos="1368" w:leader="none"/>
                <w:tab w:val="left" w:pos="1800" w:leader="none"/>
                <w:tab w:val="left" w:pos="1944"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s>
              <w:spacing w:before="120" w:after="0"/>
              <w:jc w:val="center"/>
              <w:rPr>
                <w:sz w:val="22"/>
              </w:rPr>
            </w:pPr>
            <w:r>
              <w:rPr>
                <w:sz w:val="22"/>
              </w:rPr>
            </w:r>
          </w:p>
        </w:tc>
      </w:tr>
    </w:tbl>
    <w:p>
      <w:pPr>
        <w:pStyle w:val="Normal"/>
        <w:tabs>
          <w:tab w:val="clear" w:pos="720"/>
          <w:tab w:val="left" w:pos="216" w:leader="none"/>
          <w:tab w:val="left" w:pos="360" w:leader="none"/>
          <w:tab w:val="left" w:pos="792" w:leader="none"/>
          <w:tab w:val="left" w:pos="1368" w:leader="none"/>
          <w:tab w:val="left" w:pos="1800" w:leader="none"/>
          <w:tab w:val="left" w:pos="1944"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s>
        <w:jc w:val="right"/>
        <w:rPr>
          <w:b/>
          <w:b/>
          <w:sz w:val="22"/>
        </w:rPr>
      </w:pPr>
      <w:r>
        <w:rPr>
          <w:b/>
          <w:sz w:val="22"/>
        </w:rPr>
      </w:r>
    </w:p>
    <w:p>
      <w:pPr>
        <w:pStyle w:val="Normal"/>
        <w:tabs>
          <w:tab w:val="left" w:pos="360" w:leader="none"/>
          <w:tab w:val="left" w:pos="720" w:leader="none"/>
        </w:tabs>
        <w:spacing w:before="240" w:after="120"/>
        <w:jc w:val="both"/>
        <w:rPr>
          <w:rFonts w:ascii="Arial" w:hAnsi="Arial" w:cs="Arial"/>
          <w:sz w:val="22"/>
        </w:rPr>
      </w:pPr>
      <w:r>
        <w:rPr>
          <w:rFonts w:cs="Arial" w:ascii="Arial" w:hAnsi="Arial"/>
          <w:sz w:val="22"/>
        </w:rPr>
        <w:t>Contract No. [</w:t>
      </w:r>
      <w:r>
        <w:rPr>
          <w:rFonts w:cs="Arial" w:ascii="Arial" w:hAnsi="Arial"/>
          <w:sz w:val="18"/>
          <w:szCs w:val="18"/>
        </w:rPr>
        <w:t>insert number/year</w:t>
      </w:r>
      <w:r>
        <w:rPr>
          <w:rFonts w:cs="Arial" w:ascii="Arial" w:hAnsi="Arial"/>
          <w:sz w:val="22"/>
        </w:rPr>
        <w:t xml:space="preserve">] by and between the </w:t>
      </w:r>
      <w:r>
        <w:rPr>
          <w:rFonts w:cs="Arial" w:ascii="Arial" w:hAnsi="Arial"/>
          <w:sz w:val="22"/>
          <w:u w:val="single"/>
        </w:rPr>
        <w:t>[</w:t>
      </w:r>
      <w:r>
        <w:rPr>
          <w:rFonts w:cs="Arial" w:ascii="Arial" w:hAnsi="Arial"/>
          <w:sz w:val="18"/>
          <w:szCs w:val="18"/>
        </w:rPr>
        <w:t>insert Procuring Entity’s name</w:t>
      </w:r>
      <w:r>
        <w:rPr>
          <w:rFonts w:cs="Arial" w:ascii="Arial" w:hAnsi="Arial"/>
          <w:sz w:val="22"/>
          <w:u w:val="single"/>
        </w:rPr>
        <w:t>]</w:t>
      </w:r>
      <w:r>
        <w:rPr>
          <w:rFonts w:cs="Arial" w:ascii="Arial" w:hAnsi="Arial"/>
          <w:sz w:val="22"/>
        </w:rPr>
        <w:t xml:space="preserve"> and </w:t>
      </w:r>
      <w:r>
        <w:rPr>
          <w:rFonts w:cs="Arial" w:ascii="Arial" w:hAnsi="Arial"/>
          <w:sz w:val="22"/>
          <w:u w:val="single"/>
        </w:rPr>
        <w:t>[</w:t>
      </w:r>
      <w:r>
        <w:rPr>
          <w:rFonts w:cs="Arial" w:ascii="Arial" w:hAnsi="Arial"/>
          <w:sz w:val="18"/>
          <w:szCs w:val="18"/>
        </w:rPr>
        <w:t>insert Supplier’s legal title</w:t>
      </w:r>
      <w:r>
        <w:rPr>
          <w:rFonts w:cs="Arial" w:ascii="Arial" w:hAnsi="Arial"/>
          <w:sz w:val="22"/>
        </w:rPr>
        <w:t>] for the contract named [</w:t>
      </w:r>
      <w:r>
        <w:rPr>
          <w:rFonts w:cs="Arial" w:ascii="Arial" w:hAnsi="Arial"/>
          <w:sz w:val="18"/>
          <w:szCs w:val="18"/>
        </w:rPr>
        <w:t>insert name of the Goods and related services</w:t>
      </w:r>
      <w:r>
        <w:rPr>
          <w:rFonts w:cs="Arial" w:ascii="Arial" w:hAnsi="Arial"/>
          <w:sz w:val="22"/>
          <w:u w:val="single"/>
        </w:rPr>
        <w:t>]</w:t>
      </w:r>
      <w:r>
        <w:rPr>
          <w:rFonts w:cs="Arial" w:ascii="Arial" w:hAnsi="Arial"/>
          <w:sz w:val="22"/>
        </w:rPr>
        <w:t xml:space="preserve"> is amended as follows:</w:t>
      </w:r>
    </w:p>
    <w:p>
      <w:pPr>
        <w:pStyle w:val="Normal"/>
        <w:tabs>
          <w:tab w:val="left" w:pos="360" w:leader="none"/>
          <w:tab w:val="left" w:pos="720" w:leader="none"/>
        </w:tabs>
        <w:spacing w:before="0" w:after="120"/>
        <w:ind w:left="360" w:hanging="0"/>
        <w:jc w:val="both"/>
        <w:rPr>
          <w:rFonts w:ascii="Arial" w:hAnsi="Arial" w:cs="Arial"/>
          <w:sz w:val="22"/>
          <w:u w:val="single"/>
        </w:rPr>
      </w:pPr>
      <w:r>
        <w:rPr>
          <w:rFonts w:cs="Arial" w:ascii="Arial" w:hAnsi="Arial"/>
          <w:sz w:val="22"/>
        </w:rPr>
        <w:t>1. GCC Clause [</w:t>
      </w:r>
      <w:r>
        <w:rPr>
          <w:rFonts w:cs="Arial" w:ascii="Arial" w:hAnsi="Arial"/>
          <w:sz w:val="18"/>
          <w:szCs w:val="18"/>
        </w:rPr>
        <w:t>insert clause no</w:t>
      </w:r>
      <w:r>
        <w:rPr>
          <w:rFonts w:cs="Arial" w:ascii="Arial" w:hAnsi="Arial"/>
          <w:sz w:val="22"/>
        </w:rPr>
        <w:t xml:space="preserve">], is hereby revised as </w:t>
      </w:r>
      <w:r>
        <w:rPr>
          <w:rFonts w:cs="Arial" w:ascii="Arial" w:hAnsi="Arial"/>
          <w:sz w:val="22"/>
          <w:u w:val="single"/>
        </w:rPr>
        <w:tab/>
        <w:tab/>
        <w:tab/>
        <w:tab/>
        <w:t>_____</w:t>
        <w:tab/>
        <w:tab/>
        <w:tab/>
        <w:tab/>
        <w:tab/>
        <w:tab/>
        <w:tab/>
        <w:tab/>
        <w:tab/>
        <w:tab/>
        <w:tab/>
        <w:tab/>
        <w:tab/>
        <w:tab/>
        <w:tab/>
        <w:tab/>
        <w:tab/>
        <w:tab/>
        <w:tab/>
        <w:tab/>
        <w:tab/>
        <w:tab/>
        <w:tab/>
        <w:tab/>
        <w:tab/>
      </w:r>
    </w:p>
    <w:p>
      <w:pPr>
        <w:pStyle w:val="Normal"/>
        <w:tabs>
          <w:tab w:val="left" w:pos="360" w:leader="none"/>
          <w:tab w:val="left" w:pos="720" w:leader="none"/>
        </w:tabs>
        <w:spacing w:before="0" w:after="120"/>
        <w:ind w:left="360" w:hanging="0"/>
        <w:jc w:val="both"/>
        <w:rPr>
          <w:rFonts w:ascii="Arial" w:hAnsi="Arial" w:cs="Arial"/>
          <w:sz w:val="22"/>
        </w:rPr>
      </w:pPr>
      <w:r>
        <w:rPr>
          <w:rFonts w:cs="Arial" w:ascii="Arial" w:hAnsi="Arial"/>
          <w:sz w:val="22"/>
        </w:rPr>
        <w:t>2. GCC Clause [</w:t>
      </w:r>
      <w:r>
        <w:rPr>
          <w:rFonts w:cs="Arial" w:ascii="Arial" w:hAnsi="Arial"/>
          <w:sz w:val="18"/>
          <w:szCs w:val="18"/>
        </w:rPr>
        <w:t>insert clause no</w:t>
      </w:r>
      <w:r>
        <w:rPr>
          <w:rFonts w:cs="Arial" w:ascii="Arial" w:hAnsi="Arial"/>
          <w:sz w:val="22"/>
        </w:rPr>
        <w:t xml:space="preserve">], is hereby revised as </w:t>
      </w:r>
      <w:r>
        <w:rPr>
          <w:rFonts w:cs="Arial" w:ascii="Arial" w:hAnsi="Arial"/>
          <w:sz w:val="22"/>
          <w:u w:val="single"/>
        </w:rPr>
        <w:tab/>
        <w:tab/>
        <w:tab/>
        <w:tab/>
        <w:tab/>
        <w:tab/>
        <w:tab/>
        <w:tab/>
        <w:tab/>
        <w:tab/>
        <w:tab/>
        <w:tab/>
        <w:tab/>
        <w:tab/>
        <w:tab/>
        <w:tab/>
        <w:tab/>
        <w:tab/>
      </w:r>
      <w:r>
        <w:rPr>
          <w:rFonts w:cs="Arial" w:ascii="Arial" w:hAnsi="Arial"/>
          <w:sz w:val="22"/>
        </w:rPr>
        <w:t>_________________________________________________________________</w:t>
      </w:r>
    </w:p>
    <w:p>
      <w:pPr>
        <w:pStyle w:val="Normal"/>
        <w:tabs>
          <w:tab w:val="left" w:pos="360" w:leader="none"/>
          <w:tab w:val="left" w:pos="720" w:leader="none"/>
        </w:tabs>
        <w:spacing w:before="0" w:after="120"/>
        <w:ind w:left="360" w:hanging="0"/>
        <w:jc w:val="both"/>
        <w:rPr>
          <w:rFonts w:ascii="Arial" w:hAnsi="Arial" w:cs="Arial"/>
          <w:sz w:val="22"/>
        </w:rPr>
      </w:pPr>
      <w:r>
        <w:rPr>
          <w:rFonts w:cs="Arial" w:ascii="Arial" w:hAnsi="Arial"/>
          <w:sz w:val="22"/>
        </w:rPr>
        <w:t>and so on .</w:t>
      </w:r>
    </w:p>
    <w:p>
      <w:pPr>
        <w:pStyle w:val="Normal"/>
        <w:tabs>
          <w:tab w:val="left" w:pos="360" w:leader="none"/>
          <w:tab w:val="left" w:pos="720" w:leader="none"/>
        </w:tabs>
        <w:spacing w:before="240" w:after="240"/>
        <w:jc w:val="both"/>
        <w:rPr>
          <w:rFonts w:ascii="Arial" w:hAnsi="Arial" w:cs="Arial"/>
          <w:sz w:val="22"/>
        </w:rPr>
      </w:pPr>
      <w:r>
        <w:rPr>
          <w:rFonts w:cs="Arial" w:ascii="Arial" w:hAnsi="Arial"/>
          <w:sz w:val="22"/>
        </w:rPr>
        <w:t xml:space="preserve">The effective date of this Amendment is </w:t>
      </w:r>
      <w:r>
        <w:rPr>
          <w:rFonts w:cs="Arial" w:ascii="Arial" w:hAnsi="Arial"/>
          <w:sz w:val="22"/>
          <w:u w:val="single"/>
        </w:rPr>
        <w:t>[</w:t>
      </w:r>
      <w:r>
        <w:rPr>
          <w:rFonts w:cs="Arial" w:ascii="Arial" w:hAnsi="Arial"/>
          <w:sz w:val="18"/>
          <w:szCs w:val="18"/>
        </w:rPr>
        <w:t>insert effective date</w:t>
      </w:r>
      <w:r>
        <w:rPr>
          <w:rFonts w:cs="Arial" w:ascii="Arial" w:hAnsi="Arial"/>
          <w:sz w:val="22"/>
          <w:u w:val="single"/>
        </w:rPr>
        <w:t>]</w:t>
      </w:r>
      <w:r>
        <w:rPr>
          <w:rFonts w:cs="Arial" w:ascii="Arial" w:hAnsi="Arial"/>
          <w:sz w:val="22"/>
        </w:rPr>
        <w:t xml:space="preserve"> or upon execution whichever is later.</w:t>
      </w:r>
    </w:p>
    <w:p>
      <w:pPr>
        <w:pStyle w:val="TextBody"/>
        <w:spacing w:before="0" w:after="240"/>
        <w:jc w:val="center"/>
        <w:rPr>
          <w:rFonts w:ascii="Arial" w:hAnsi="Arial" w:cs="Arial"/>
          <w:b/>
          <w:b/>
        </w:rPr>
      </w:pPr>
      <w:r>
        <w:rPr>
          <w:rFonts w:cs="Arial" w:ascii="Arial" w:hAnsi="Arial"/>
          <w:b/>
        </w:rPr>
        <w:t>ALL OTHER TERMS AND CONDITIONS OF THE ORIGINAL CONTRACT SHALL REMAIN IN FULL FORCE AND EFFECT</w:t>
      </w:r>
    </w:p>
    <w:p>
      <w:pPr>
        <w:pStyle w:val="TextBody"/>
        <w:spacing w:before="0" w:after="240"/>
        <w:jc w:val="center"/>
        <w:rPr>
          <w:rFonts w:ascii="Arial" w:hAnsi="Arial" w:cs="Arial"/>
          <w:b/>
          <w:b/>
        </w:rPr>
      </w:pPr>
      <w:r>
        <w:rPr>
          <w:rFonts w:cs="Arial" w:ascii="Arial" w:hAnsi="Arial"/>
          <w:b/>
        </w:rPr>
      </w:r>
    </w:p>
    <w:p>
      <w:pPr>
        <w:pStyle w:val="TextBody"/>
        <w:spacing w:before="0" w:after="240"/>
        <w:jc w:val="center"/>
        <w:rPr>
          <w:rFonts w:ascii="Arial" w:hAnsi="Arial" w:cs="Arial"/>
          <w:b/>
          <w:b/>
        </w:rPr>
      </w:pPr>
      <w:r>
        <w:rPr>
          <w:rFonts w:cs="Arial" w:ascii="Arial" w:hAnsi="Arial"/>
          <w:b/>
        </w:rPr>
      </w:r>
    </w:p>
    <w:p>
      <w:pPr>
        <w:pStyle w:val="Normal"/>
        <w:spacing w:before="0" w:after="240"/>
        <w:jc w:val="both"/>
        <w:rPr>
          <w:rFonts w:ascii="Arial" w:hAnsi="Arial" w:cs="Arial"/>
          <w:sz w:val="22"/>
        </w:rPr>
      </w:pPr>
      <w:r>
        <w:rPr>
          <w:rFonts w:cs="Arial" w:ascii="Arial" w:hAnsi="Arial"/>
          <w:sz w:val="22"/>
        </w:rPr>
        <w:t>THIS AMENDMENT, consisting of [</w:t>
      </w:r>
      <w:r>
        <w:rPr>
          <w:rFonts w:cs="Arial" w:ascii="Arial" w:hAnsi="Arial"/>
          <w:sz w:val="18"/>
          <w:szCs w:val="18"/>
        </w:rPr>
        <w:t>insert number</w:t>
      </w:r>
      <w:r>
        <w:rPr>
          <w:rFonts w:cs="Arial" w:ascii="Arial" w:hAnsi="Arial"/>
          <w:sz w:val="22"/>
        </w:rPr>
        <w:t>] page(s) and [</w:t>
      </w:r>
      <w:r>
        <w:rPr>
          <w:rFonts w:cs="Arial" w:ascii="Arial" w:hAnsi="Arial"/>
          <w:sz w:val="18"/>
          <w:szCs w:val="18"/>
        </w:rPr>
        <w:t>insert number</w:t>
      </w:r>
      <w:r>
        <w:rPr>
          <w:rFonts w:cs="Arial" w:ascii="Arial" w:hAnsi="Arial"/>
          <w:sz w:val="22"/>
        </w:rPr>
        <w:t>] attachment(s), is executed by the persons signing below who warrant that they have the authority to execute this Amendment under the original Contract.</w:t>
      </w:r>
    </w:p>
    <w:p>
      <w:pPr>
        <w:pStyle w:val="Normal"/>
        <w:tabs>
          <w:tab w:val="clear" w:pos="720"/>
          <w:tab w:val="left" w:pos="216" w:leader="none"/>
          <w:tab w:val="left" w:pos="360" w:leader="none"/>
          <w:tab w:val="left" w:pos="792" w:leader="none"/>
          <w:tab w:val="left" w:pos="1368" w:leader="none"/>
          <w:tab w:val="left" w:pos="1800" w:leader="none"/>
          <w:tab w:val="left" w:pos="1944"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s>
        <w:spacing w:before="0" w:after="240"/>
        <w:jc w:val="both"/>
        <w:rPr>
          <w:rFonts w:ascii="Arial" w:hAnsi="Arial" w:cs="Arial"/>
          <w:sz w:val="22"/>
        </w:rPr>
      </w:pPr>
      <w:r>
        <w:rPr>
          <w:rFonts w:cs="Arial" w:ascii="Arial" w:hAnsi="Arial"/>
          <w:sz w:val="22"/>
        </w:rPr>
        <w:t>IN WITNESS WHEREOF, the Procuring Entity and the Supplier have signed this Amendment.</w:t>
      </w:r>
    </w:p>
    <w:p>
      <w:pPr>
        <w:pStyle w:val="Normal"/>
        <w:tabs>
          <w:tab w:val="clear" w:pos="720"/>
          <w:tab w:val="left" w:pos="4464" w:leader="none"/>
          <w:tab w:val="left" w:pos="4752" w:leader="none"/>
          <w:tab w:val="left" w:pos="9072" w:leader="none"/>
        </w:tabs>
        <w:spacing w:before="480" w:after="120"/>
        <w:jc w:val="both"/>
        <w:rPr>
          <w:rFonts w:ascii="Arial" w:hAnsi="Arial" w:cs="Arial"/>
          <w:sz w:val="22"/>
        </w:rPr>
      </w:pPr>
      <w:r>
        <w:rPr>
          <w:rFonts w:cs="Arial" w:ascii="Arial" w:hAnsi="Arial"/>
          <w:sz w:val="22"/>
        </w:rPr>
        <w:t>[Supplier’s Authorized Signatory]</w:t>
        <w:tab/>
        <w:tab/>
        <w:t>[Procuring Entity’s Authorized Signatory]</w:t>
      </w:r>
    </w:p>
    <w:p>
      <w:pPr>
        <w:pStyle w:val="Normal"/>
        <w:tabs>
          <w:tab w:val="clear" w:pos="720"/>
          <w:tab w:val="left" w:pos="4464" w:leader="none"/>
          <w:tab w:val="left" w:pos="4752" w:leader="none"/>
          <w:tab w:val="left" w:pos="8690" w:leader="none"/>
        </w:tabs>
        <w:jc w:val="both"/>
        <w:rPr>
          <w:rFonts w:ascii="Arial" w:hAnsi="Arial" w:cs="Arial"/>
          <w:sz w:val="22"/>
        </w:rPr>
      </w:pPr>
      <w:r>
        <w:rPr>
          <w:rFonts w:cs="Arial" w:ascii="Arial" w:hAnsi="Arial"/>
          <w:sz w:val="22"/>
          <w:u w:val="single"/>
        </w:rPr>
        <w:tab/>
      </w:r>
      <w:r>
        <w:rPr>
          <w:rFonts w:cs="Arial" w:ascii="Arial" w:hAnsi="Arial"/>
          <w:sz w:val="22"/>
        </w:rPr>
        <w:tab/>
      </w:r>
      <w:r>
        <w:rPr>
          <w:rFonts w:cs="Arial" w:ascii="Arial" w:hAnsi="Arial"/>
          <w:sz w:val="22"/>
          <w:u w:val="single"/>
        </w:rPr>
        <w:tab/>
      </w:r>
    </w:p>
    <w:p>
      <w:pPr>
        <w:pStyle w:val="Normal"/>
        <w:tabs>
          <w:tab w:val="clear" w:pos="720"/>
          <w:tab w:val="left" w:pos="4464" w:leader="none"/>
          <w:tab w:val="left" w:pos="4752" w:leader="none"/>
          <w:tab w:val="left" w:pos="9072" w:leader="none"/>
        </w:tabs>
        <w:spacing w:before="0" w:after="120"/>
        <w:jc w:val="both"/>
        <w:rPr>
          <w:rFonts w:ascii="Arial" w:hAnsi="Arial" w:cs="Arial"/>
          <w:sz w:val="22"/>
        </w:rPr>
      </w:pPr>
      <w:r>
        <w:rPr>
          <w:rFonts w:cs="Arial" w:ascii="Arial" w:hAnsi="Arial"/>
          <w:sz w:val="22"/>
        </w:rPr>
        <w:t>Signature</w:t>
        <w:tab/>
        <w:tab/>
        <w:t>Signature</w:t>
      </w:r>
    </w:p>
    <w:p>
      <w:pPr>
        <w:pStyle w:val="Normal"/>
        <w:tabs>
          <w:tab w:val="clear" w:pos="720"/>
          <w:tab w:val="left" w:pos="4464" w:leader="none"/>
          <w:tab w:val="left" w:pos="4752" w:leader="none"/>
          <w:tab w:val="left" w:pos="8690" w:leader="none"/>
        </w:tabs>
        <w:jc w:val="both"/>
        <w:rPr>
          <w:rFonts w:ascii="Arial" w:hAnsi="Arial" w:cs="Arial"/>
          <w:sz w:val="22"/>
        </w:rPr>
      </w:pPr>
      <w:r>
        <w:rPr>
          <w:rFonts w:cs="Arial" w:ascii="Arial" w:hAnsi="Arial"/>
          <w:sz w:val="22"/>
          <w:u w:val="single"/>
        </w:rPr>
        <w:tab/>
      </w:r>
      <w:r>
        <w:rPr>
          <w:rFonts w:cs="Arial" w:ascii="Arial" w:hAnsi="Arial"/>
          <w:sz w:val="22"/>
        </w:rPr>
        <w:tab/>
      </w:r>
      <w:r>
        <w:rPr>
          <w:rFonts w:cs="Arial" w:ascii="Arial" w:hAnsi="Arial"/>
          <w:sz w:val="22"/>
          <w:u w:val="single"/>
        </w:rPr>
        <w:tab/>
      </w:r>
    </w:p>
    <w:p>
      <w:pPr>
        <w:pStyle w:val="Normal"/>
        <w:tabs>
          <w:tab w:val="clear" w:pos="720"/>
          <w:tab w:val="left" w:pos="4464" w:leader="none"/>
          <w:tab w:val="left" w:pos="4752" w:leader="none"/>
          <w:tab w:val="left" w:pos="9072" w:leader="none"/>
        </w:tabs>
        <w:spacing w:before="0" w:after="120"/>
        <w:jc w:val="both"/>
        <w:rPr>
          <w:rFonts w:ascii="Arial" w:hAnsi="Arial" w:cs="Arial"/>
          <w:spacing w:val="-10"/>
          <w:sz w:val="16"/>
          <w:szCs w:val="16"/>
        </w:rPr>
      </w:pPr>
      <w:r>
        <w:rPr>
          <w:rFonts w:cs="Arial" w:ascii="Arial" w:hAnsi="Arial"/>
          <w:sz w:val="22"/>
        </w:rPr>
        <w:t>Title                                                     Date</w:t>
        <w:tab/>
        <w:tab/>
        <w:t>Title                                                 Date</w:t>
      </w:r>
    </w:p>
    <w:p>
      <w:pPr>
        <w:pStyle w:val="Normal"/>
        <w:spacing w:before="40" w:after="0"/>
        <w:ind w:left="-331" w:right="-662" w:hanging="0"/>
        <w:jc w:val="both"/>
        <w:rPr>
          <w:rFonts w:ascii="Arial" w:hAnsi="Arial" w:cs="Arial"/>
          <w:b/>
          <w:b/>
          <w:spacing w:val="-10"/>
          <w:sz w:val="16"/>
          <w:szCs w:val="16"/>
        </w:rPr>
      </w:pPr>
      <w:r>
        <w:rPr>
          <w:rFonts w:cs="Arial" w:ascii="Arial" w:hAnsi="Arial"/>
          <w:b/>
          <w:spacing w:val="-10"/>
          <w:sz w:val="16"/>
          <w:szCs w:val="16"/>
        </w:rPr>
      </w:r>
    </w:p>
    <w:p>
      <w:pPr>
        <w:pStyle w:val="Normal"/>
        <w:jc w:val="center"/>
        <w:rPr>
          <w:sz w:val="28"/>
          <w:szCs w:val="28"/>
          <w:lang w:val="en-GB"/>
        </w:rPr>
      </w:pPr>
      <w:r>
        <w:rPr/>
      </w:r>
      <w:r>
        <w:br w:type="page"/>
      </w:r>
    </w:p>
    <w:p>
      <w:pPr>
        <w:pStyle w:val="Normal"/>
        <w:jc w:val="center"/>
        <w:rPr>
          <w:sz w:val="28"/>
          <w:szCs w:val="28"/>
          <w:lang w:val="en-GB"/>
        </w:rPr>
      </w:pPr>
      <w:r>
        <w:rPr>
          <w:sz w:val="28"/>
          <w:szCs w:val="28"/>
          <w:lang w:val="en-GB"/>
        </w:rPr>
        <w:t xml:space="preserve">FORMAT </w:t>
      </w:r>
    </w:p>
    <w:p>
      <w:pPr>
        <w:pStyle w:val="Normal"/>
        <w:jc w:val="center"/>
        <w:rPr>
          <w:rFonts w:ascii="Tahoma" w:hAnsi="Tahoma" w:cs="Tahoma"/>
          <w:b/>
          <w:b/>
          <w:sz w:val="32"/>
          <w:szCs w:val="32"/>
        </w:rPr>
      </w:pPr>
      <w:r>
        <w:rPr>
          <w:rFonts w:cs="Tahoma" w:ascii="Tahoma" w:hAnsi="Tahoma"/>
          <w:b/>
          <w:sz w:val="32"/>
          <w:szCs w:val="32"/>
        </w:rPr>
        <w:t>LOGO</w:t>
      </w:r>
    </w:p>
    <w:p>
      <w:pPr>
        <w:pStyle w:val="Normal"/>
        <w:jc w:val="center"/>
        <w:rPr>
          <w:b/>
          <w:b/>
        </w:rPr>
      </w:pPr>
      <w:r>
        <w:rPr>
          <w:b/>
        </w:rPr>
        <w:t>[Insert Full Contact Details of Issuing Authority]</w:t>
      </w:r>
    </w:p>
    <w:p>
      <w:pPr>
        <w:pStyle w:val="Normal"/>
        <w:pBdr>
          <w:bottom w:val="single" w:sz="12" w:space="1" w:color="000000"/>
        </w:pBdr>
        <w:rPr>
          <w:b/>
          <w:b/>
        </w:rPr>
      </w:pPr>
      <w:r>
        <w:rPr>
          <w:b/>
        </w:rPr>
      </w:r>
    </w:p>
    <w:p>
      <w:pPr>
        <w:pStyle w:val="Normal"/>
        <w:ind w:left="-900" w:hanging="0"/>
        <w:rPr>
          <w:rFonts w:ascii="Tahoma" w:hAnsi="Tahoma" w:cs="Tahoma"/>
        </w:rPr>
      </w:pPr>
      <w:r>
        <w:rPr>
          <w:rFonts w:cs="Tahoma" w:ascii="Tahoma" w:hAnsi="Tahoma"/>
        </w:rPr>
        <w:t xml:space="preserve">          </w:t>
      </w:r>
      <w:r>
        <w:rPr>
          <w:rFonts w:cs="Tahoma" w:ascii="Tahoma" w:hAnsi="Tahoma"/>
        </w:rPr>
        <w:t>Office Memo no: _________                       Date: _________</w:t>
      </w:r>
    </w:p>
    <w:p>
      <w:pPr>
        <w:pStyle w:val="Normal"/>
        <w:jc w:val="center"/>
        <w:rPr>
          <w:b/>
          <w:b/>
          <w:sz w:val="28"/>
          <w:szCs w:val="28"/>
        </w:rPr>
      </w:pPr>
      <w:r>
        <w:rPr>
          <w:rFonts w:cs="Tahoma" w:ascii="Tahoma" w:hAnsi="Tahoma"/>
          <w:b/>
          <w:sz w:val="28"/>
          <w:szCs w:val="28"/>
          <w:u w:val="single"/>
        </w:rPr>
        <w:t>ACCEPTANCE CERTIFICATE</w:t>
      </w:r>
    </w:p>
    <w:p>
      <w:pPr>
        <w:pStyle w:val="Normal"/>
        <w:jc w:val="center"/>
        <w:rPr>
          <w:b/>
          <w:b/>
          <w:sz w:val="28"/>
          <w:szCs w:val="28"/>
        </w:rPr>
      </w:pPr>
      <w:r>
        <w:rPr>
          <w:b/>
          <w:sz w:val="28"/>
          <w:szCs w:val="28"/>
        </w:rPr>
      </w:r>
    </w:p>
    <w:tbl>
      <w:tblPr>
        <w:tblW w:w="9090" w:type="dxa"/>
        <w:jc w:val="left"/>
        <w:tblInd w:w="18" w:type="dxa"/>
        <w:tblLayout w:type="fixed"/>
        <w:tblCellMar>
          <w:top w:w="0" w:type="dxa"/>
          <w:left w:w="108" w:type="dxa"/>
          <w:bottom w:w="0" w:type="dxa"/>
          <w:right w:w="108" w:type="dxa"/>
        </w:tblCellMar>
        <w:tblLook w:val="01e0" w:noHBand="0" w:noVBand="0" w:firstColumn="1" w:lastRow="1" w:lastColumn="1" w:firstRow="1"/>
      </w:tblPr>
      <w:tblGrid>
        <w:gridCol w:w="629"/>
        <w:gridCol w:w="4141"/>
        <w:gridCol w:w="360"/>
        <w:gridCol w:w="3959"/>
      </w:tblGrid>
      <w:tr>
        <w:trPr>
          <w:trHeight w:val="287" w:hRule="atLeast"/>
        </w:trPr>
        <w:tc>
          <w:tcPr>
            <w:tcW w:w="62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t>01</w:t>
            </w:r>
          </w:p>
        </w:tc>
        <w:tc>
          <w:tcPr>
            <w:tcW w:w="846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b/>
                <w:b/>
                <w:sz w:val="22"/>
              </w:rPr>
            </w:pPr>
            <w:r>
              <w:rPr>
                <w:rFonts w:eastAsia="Times New Roman" w:cs="Tahoma" w:ascii="Tahoma" w:hAnsi="Tahoma"/>
                <w:sz w:val="22"/>
                <w:szCs w:val="20"/>
              </w:rPr>
              <w:t>Procuring Entity Details</w:t>
            </w:r>
          </w:p>
        </w:tc>
      </w:tr>
      <w:tr>
        <w:trPr/>
        <w:tc>
          <w:tcPr>
            <w:tcW w:w="62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r>
          </w:p>
        </w:tc>
        <w:tc>
          <w:tcPr>
            <w:tcW w:w="414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sz w:val="22"/>
              </w:rPr>
            </w:pPr>
            <w:r>
              <w:rPr>
                <w:rFonts w:eastAsia="Times New Roman" w:cs="Tahoma" w:ascii="Tahoma" w:hAnsi="Tahoma"/>
                <w:sz w:val="22"/>
              </w:rPr>
              <w:t xml:space="preserve"> </w:t>
            </w:r>
            <w:r>
              <w:rPr>
                <w:rFonts w:eastAsia="Times New Roman" w:cs="Tahoma" w:ascii="Tahoma" w:hAnsi="Tahoma"/>
                <w:sz w:val="22"/>
              </w:rPr>
              <w:t>(a)  Division</w:t>
            </w:r>
          </w:p>
        </w:tc>
        <w:tc>
          <w:tcPr>
            <w:tcW w:w="3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t>:</w:t>
            </w:r>
          </w:p>
        </w:tc>
        <w:tc>
          <w:tcPr>
            <w:tcW w:w="39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r>
          </w:p>
        </w:tc>
      </w:tr>
      <w:tr>
        <w:trPr/>
        <w:tc>
          <w:tcPr>
            <w:tcW w:w="62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r>
          </w:p>
        </w:tc>
        <w:tc>
          <w:tcPr>
            <w:tcW w:w="414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sz w:val="22"/>
              </w:rPr>
            </w:pPr>
            <w:r>
              <w:rPr>
                <w:rFonts w:eastAsia="Times New Roman" w:cs="Tahoma" w:ascii="Tahoma" w:hAnsi="Tahoma"/>
                <w:sz w:val="22"/>
              </w:rPr>
              <w:t xml:space="preserve"> </w:t>
            </w:r>
            <w:r>
              <w:rPr>
                <w:rFonts w:eastAsia="Times New Roman" w:cs="Tahoma" w:ascii="Tahoma" w:hAnsi="Tahoma"/>
                <w:sz w:val="22"/>
              </w:rPr>
              <w:t>(b)  Circle/Directorate</w:t>
            </w:r>
          </w:p>
        </w:tc>
        <w:tc>
          <w:tcPr>
            <w:tcW w:w="3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t>:</w:t>
            </w:r>
          </w:p>
        </w:tc>
        <w:tc>
          <w:tcPr>
            <w:tcW w:w="39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r>
          </w:p>
        </w:tc>
      </w:tr>
      <w:tr>
        <w:trPr/>
        <w:tc>
          <w:tcPr>
            <w:tcW w:w="62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r>
          </w:p>
        </w:tc>
        <w:tc>
          <w:tcPr>
            <w:tcW w:w="414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sz w:val="22"/>
              </w:rPr>
            </w:pPr>
            <w:r>
              <w:rPr>
                <w:rFonts w:eastAsia="Times New Roman" w:cs="Tahoma" w:ascii="Tahoma" w:hAnsi="Tahoma"/>
                <w:sz w:val="22"/>
              </w:rPr>
              <w:t xml:space="preserve"> </w:t>
            </w:r>
            <w:r>
              <w:rPr>
                <w:rFonts w:eastAsia="Times New Roman" w:cs="Tahoma" w:ascii="Tahoma" w:hAnsi="Tahoma"/>
                <w:sz w:val="22"/>
              </w:rPr>
              <w:t>(c)  Zone/Region</w:t>
            </w:r>
          </w:p>
        </w:tc>
        <w:tc>
          <w:tcPr>
            <w:tcW w:w="3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t>:</w:t>
            </w:r>
          </w:p>
        </w:tc>
        <w:tc>
          <w:tcPr>
            <w:tcW w:w="39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r>
          </w:p>
        </w:tc>
      </w:tr>
      <w:tr>
        <w:trPr/>
        <w:tc>
          <w:tcPr>
            <w:tcW w:w="62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r>
          </w:p>
        </w:tc>
        <w:tc>
          <w:tcPr>
            <w:tcW w:w="414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sz w:val="22"/>
              </w:rPr>
            </w:pPr>
            <w:r>
              <w:rPr>
                <w:rFonts w:eastAsia="Times New Roman" w:cs="Tahoma" w:ascii="Tahoma" w:hAnsi="Tahoma"/>
                <w:sz w:val="22"/>
              </w:rPr>
              <w:t xml:space="preserve"> </w:t>
            </w:r>
            <w:r>
              <w:rPr>
                <w:rFonts w:eastAsia="Times New Roman" w:cs="Tahoma" w:ascii="Tahoma" w:hAnsi="Tahoma"/>
                <w:sz w:val="22"/>
              </w:rPr>
              <w:t>(d)  Others (</w:t>
            </w:r>
            <w:r>
              <w:rPr>
                <w:rFonts w:eastAsia="Times New Roman" w:cs="Tahoma" w:ascii="Tahoma" w:hAnsi="Tahoma"/>
                <w:i/>
                <w:sz w:val="22"/>
                <w:szCs w:val="18"/>
              </w:rPr>
              <w:t>specify</w:t>
            </w:r>
            <w:r>
              <w:rPr>
                <w:rFonts w:eastAsia="Times New Roman" w:cs="Tahoma" w:ascii="Tahoma" w:hAnsi="Tahoma"/>
                <w:sz w:val="22"/>
              </w:rPr>
              <w:t>)</w:t>
            </w:r>
          </w:p>
        </w:tc>
        <w:tc>
          <w:tcPr>
            <w:tcW w:w="3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t>:</w:t>
            </w:r>
          </w:p>
        </w:tc>
        <w:tc>
          <w:tcPr>
            <w:tcW w:w="39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t>02</w:t>
            </w:r>
          </w:p>
        </w:tc>
        <w:tc>
          <w:tcPr>
            <w:tcW w:w="414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sz w:val="22"/>
              </w:rPr>
            </w:pPr>
            <w:r>
              <w:rPr>
                <w:rFonts w:eastAsia="Times New Roman" w:cs="Tahoma" w:ascii="Tahoma" w:hAnsi="Tahoma"/>
                <w:sz w:val="22"/>
              </w:rPr>
              <w:t>Name of Supply</w:t>
            </w:r>
          </w:p>
        </w:tc>
        <w:tc>
          <w:tcPr>
            <w:tcW w:w="3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t>:</w:t>
            </w:r>
          </w:p>
        </w:tc>
        <w:tc>
          <w:tcPr>
            <w:tcW w:w="39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t>03</w:t>
            </w:r>
          </w:p>
        </w:tc>
        <w:tc>
          <w:tcPr>
            <w:tcW w:w="414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sz w:val="22"/>
              </w:rPr>
            </w:pPr>
            <w:r>
              <w:rPr>
                <w:rFonts w:eastAsia="Times New Roman" w:cs="Tahoma" w:ascii="Tahoma" w:hAnsi="Tahoma"/>
                <w:sz w:val="22"/>
              </w:rPr>
              <w:t>Contract No</w:t>
            </w:r>
          </w:p>
        </w:tc>
        <w:tc>
          <w:tcPr>
            <w:tcW w:w="3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t>:</w:t>
            </w:r>
          </w:p>
        </w:tc>
        <w:tc>
          <w:tcPr>
            <w:tcW w:w="39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t>04</w:t>
            </w:r>
          </w:p>
        </w:tc>
        <w:tc>
          <w:tcPr>
            <w:tcW w:w="414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sz w:val="22"/>
              </w:rPr>
            </w:pPr>
            <w:r>
              <w:rPr>
                <w:rFonts w:eastAsia="Times New Roman" w:cs="Tahoma" w:ascii="Tahoma" w:hAnsi="Tahoma"/>
                <w:sz w:val="22"/>
              </w:rPr>
              <w:t>Supplier’s Legal Title</w:t>
            </w:r>
          </w:p>
        </w:tc>
        <w:tc>
          <w:tcPr>
            <w:tcW w:w="3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t>:</w:t>
            </w:r>
          </w:p>
        </w:tc>
        <w:tc>
          <w:tcPr>
            <w:tcW w:w="39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t>05</w:t>
            </w:r>
          </w:p>
        </w:tc>
        <w:tc>
          <w:tcPr>
            <w:tcW w:w="414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sz w:val="22"/>
              </w:rPr>
            </w:pPr>
            <w:r>
              <w:rPr>
                <w:rFonts w:eastAsia="Times New Roman" w:cs="Tahoma" w:ascii="Tahoma" w:hAnsi="Tahoma"/>
                <w:sz w:val="22"/>
              </w:rPr>
              <w:t>Supplier’s Contact Details</w:t>
            </w:r>
          </w:p>
        </w:tc>
        <w:tc>
          <w:tcPr>
            <w:tcW w:w="3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t>:</w:t>
            </w:r>
          </w:p>
        </w:tc>
        <w:tc>
          <w:tcPr>
            <w:tcW w:w="39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t>06</w:t>
            </w:r>
          </w:p>
        </w:tc>
        <w:tc>
          <w:tcPr>
            <w:tcW w:w="414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sz w:val="22"/>
              </w:rPr>
            </w:pPr>
            <w:r>
              <w:rPr>
                <w:rFonts w:eastAsia="Times New Roman" w:cs="Tahoma" w:ascii="Tahoma" w:hAnsi="Tahoma"/>
                <w:sz w:val="22"/>
              </w:rPr>
              <w:t>Supplier’s Trade License/Enlistment/Registration Details</w:t>
            </w:r>
          </w:p>
        </w:tc>
        <w:tc>
          <w:tcPr>
            <w:tcW w:w="3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t>:</w:t>
            </w:r>
          </w:p>
        </w:tc>
        <w:tc>
          <w:tcPr>
            <w:tcW w:w="39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t>07</w:t>
            </w:r>
          </w:p>
        </w:tc>
        <w:tc>
          <w:tcPr>
            <w:tcW w:w="414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sz w:val="22"/>
              </w:rPr>
            </w:pPr>
            <w:r>
              <w:rPr>
                <w:rFonts w:eastAsia="Times New Roman" w:cs="Tahoma" w:ascii="Tahoma" w:hAnsi="Tahoma"/>
                <w:sz w:val="22"/>
              </w:rPr>
              <w:t>Reference to NOA with Date</w:t>
            </w:r>
          </w:p>
        </w:tc>
        <w:tc>
          <w:tcPr>
            <w:tcW w:w="3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t>:</w:t>
            </w:r>
          </w:p>
        </w:tc>
        <w:tc>
          <w:tcPr>
            <w:tcW w:w="39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t>08</w:t>
            </w:r>
          </w:p>
        </w:tc>
        <w:tc>
          <w:tcPr>
            <w:tcW w:w="414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sz w:val="22"/>
              </w:rPr>
            </w:pPr>
            <w:r>
              <w:rPr>
                <w:rFonts w:eastAsia="Times New Roman" w:cs="Tahoma" w:ascii="Tahoma" w:hAnsi="Tahoma"/>
                <w:sz w:val="22"/>
              </w:rPr>
              <w:t>Original Contract Price as in NOA</w:t>
            </w:r>
          </w:p>
        </w:tc>
        <w:tc>
          <w:tcPr>
            <w:tcW w:w="3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t>:</w:t>
            </w:r>
          </w:p>
        </w:tc>
        <w:tc>
          <w:tcPr>
            <w:tcW w:w="39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t>09</w:t>
            </w:r>
          </w:p>
        </w:tc>
        <w:tc>
          <w:tcPr>
            <w:tcW w:w="414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sz w:val="22"/>
              </w:rPr>
            </w:pPr>
            <w:r>
              <w:rPr>
                <w:rFonts w:eastAsia="Times New Roman" w:cs="Tahoma" w:ascii="Tahoma" w:hAnsi="Tahoma"/>
                <w:sz w:val="22"/>
              </w:rPr>
              <w:t>Final Contract Price as Delivered</w:t>
            </w:r>
          </w:p>
        </w:tc>
        <w:tc>
          <w:tcPr>
            <w:tcW w:w="3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t>:</w:t>
            </w:r>
          </w:p>
        </w:tc>
        <w:tc>
          <w:tcPr>
            <w:tcW w:w="39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r>
          </w:p>
        </w:tc>
      </w:tr>
      <w:tr>
        <w:trPr/>
        <w:tc>
          <w:tcPr>
            <w:tcW w:w="62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t>10</w:t>
            </w:r>
          </w:p>
        </w:tc>
        <w:tc>
          <w:tcPr>
            <w:tcW w:w="846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b/>
                <w:b/>
                <w:sz w:val="22"/>
              </w:rPr>
            </w:pPr>
            <w:r>
              <w:rPr>
                <w:rFonts w:eastAsia="Times New Roman" w:cs="Tahoma" w:ascii="Tahoma" w:hAnsi="Tahoma"/>
                <w:sz w:val="22"/>
                <w:szCs w:val="20"/>
              </w:rPr>
              <w:t>Original Contract Period</w:t>
            </w:r>
          </w:p>
        </w:tc>
      </w:tr>
      <w:tr>
        <w:trPr/>
        <w:tc>
          <w:tcPr>
            <w:tcW w:w="62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r>
          </w:p>
        </w:tc>
        <w:tc>
          <w:tcPr>
            <w:tcW w:w="414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sz w:val="22"/>
              </w:rPr>
            </w:pPr>
            <w:r>
              <w:rPr>
                <w:rFonts w:eastAsia="Times New Roman" w:cs="Tahoma" w:ascii="Tahoma" w:hAnsi="Tahoma"/>
                <w:sz w:val="22"/>
              </w:rPr>
              <w:t>(a) Date of Commencement</w:t>
            </w:r>
          </w:p>
        </w:tc>
        <w:tc>
          <w:tcPr>
            <w:tcW w:w="3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t>:</w:t>
            </w:r>
          </w:p>
        </w:tc>
        <w:tc>
          <w:tcPr>
            <w:tcW w:w="39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r>
          </w:p>
        </w:tc>
      </w:tr>
      <w:tr>
        <w:trPr/>
        <w:tc>
          <w:tcPr>
            <w:tcW w:w="62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r>
          </w:p>
        </w:tc>
        <w:tc>
          <w:tcPr>
            <w:tcW w:w="414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sz w:val="22"/>
              </w:rPr>
            </w:pPr>
            <w:r>
              <w:rPr>
                <w:rFonts w:eastAsia="Times New Roman" w:cs="Tahoma" w:ascii="Tahoma" w:hAnsi="Tahoma"/>
                <w:sz w:val="22"/>
              </w:rPr>
              <w:t>(b) Date of Completion</w:t>
            </w:r>
          </w:p>
        </w:tc>
        <w:tc>
          <w:tcPr>
            <w:tcW w:w="3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t>:</w:t>
            </w:r>
          </w:p>
        </w:tc>
        <w:tc>
          <w:tcPr>
            <w:tcW w:w="39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r>
          </w:p>
        </w:tc>
      </w:tr>
      <w:tr>
        <w:trPr/>
        <w:tc>
          <w:tcPr>
            <w:tcW w:w="62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t>11</w:t>
            </w:r>
          </w:p>
        </w:tc>
        <w:tc>
          <w:tcPr>
            <w:tcW w:w="846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b/>
                <w:b/>
                <w:sz w:val="22"/>
              </w:rPr>
            </w:pPr>
            <w:r>
              <w:rPr>
                <w:rFonts w:eastAsia="Times New Roman" w:cs="Tahoma" w:ascii="Tahoma" w:hAnsi="Tahoma"/>
                <w:sz w:val="22"/>
                <w:szCs w:val="20"/>
              </w:rPr>
              <w:t>Actual Delivery Period</w:t>
            </w:r>
          </w:p>
        </w:tc>
      </w:tr>
      <w:tr>
        <w:trPr/>
        <w:tc>
          <w:tcPr>
            <w:tcW w:w="62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r>
          </w:p>
        </w:tc>
        <w:tc>
          <w:tcPr>
            <w:tcW w:w="414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sz w:val="22"/>
              </w:rPr>
            </w:pPr>
            <w:r>
              <w:rPr>
                <w:rFonts w:eastAsia="Times New Roman" w:cs="Tahoma" w:ascii="Tahoma" w:hAnsi="Tahoma"/>
                <w:sz w:val="22"/>
              </w:rPr>
              <w:t>(a) Date of Actual Commencement</w:t>
            </w:r>
          </w:p>
        </w:tc>
        <w:tc>
          <w:tcPr>
            <w:tcW w:w="3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t>:</w:t>
            </w:r>
          </w:p>
        </w:tc>
        <w:tc>
          <w:tcPr>
            <w:tcW w:w="39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r>
          </w:p>
        </w:tc>
      </w:tr>
      <w:tr>
        <w:trPr/>
        <w:tc>
          <w:tcPr>
            <w:tcW w:w="62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r>
          </w:p>
        </w:tc>
        <w:tc>
          <w:tcPr>
            <w:tcW w:w="414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sz w:val="22"/>
              </w:rPr>
            </w:pPr>
            <w:r>
              <w:rPr>
                <w:rFonts w:eastAsia="Times New Roman" w:cs="Tahoma" w:ascii="Tahoma" w:hAnsi="Tahoma"/>
                <w:sz w:val="22"/>
              </w:rPr>
              <w:t>(b) Date of Actual Completion</w:t>
            </w:r>
          </w:p>
        </w:tc>
        <w:tc>
          <w:tcPr>
            <w:tcW w:w="3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t>:</w:t>
            </w:r>
          </w:p>
        </w:tc>
        <w:tc>
          <w:tcPr>
            <w:tcW w:w="39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t>12</w:t>
            </w:r>
          </w:p>
        </w:tc>
        <w:tc>
          <w:tcPr>
            <w:tcW w:w="414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sz w:val="22"/>
              </w:rPr>
            </w:pPr>
            <w:r>
              <w:rPr>
                <w:rFonts w:eastAsia="Times New Roman" w:cs="Tahoma" w:ascii="Tahoma" w:hAnsi="Tahoma"/>
                <w:sz w:val="22"/>
              </w:rPr>
              <w:t>Days/Months Delivery Period Extended</w:t>
            </w:r>
          </w:p>
        </w:tc>
        <w:tc>
          <w:tcPr>
            <w:tcW w:w="3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t>:</w:t>
            </w:r>
          </w:p>
        </w:tc>
        <w:tc>
          <w:tcPr>
            <w:tcW w:w="39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t>13</w:t>
            </w:r>
          </w:p>
        </w:tc>
        <w:tc>
          <w:tcPr>
            <w:tcW w:w="414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sz w:val="22"/>
              </w:rPr>
            </w:pPr>
            <w:r>
              <w:rPr>
                <w:rFonts w:eastAsia="Times New Roman" w:cs="Tahoma" w:ascii="Tahoma" w:hAnsi="Tahoma"/>
                <w:sz w:val="22"/>
              </w:rPr>
              <w:t>Amount of LD for Delayed Delivery</w:t>
            </w:r>
          </w:p>
        </w:tc>
        <w:tc>
          <w:tcPr>
            <w:tcW w:w="3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t>:</w:t>
            </w:r>
          </w:p>
        </w:tc>
        <w:tc>
          <w:tcPr>
            <w:tcW w:w="39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r>
          </w:p>
        </w:tc>
      </w:tr>
      <w:tr>
        <w:trPr>
          <w:trHeight w:val="602" w:hRule="atLeast"/>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sz w:val="22"/>
              </w:rPr>
            </w:pPr>
            <w:r>
              <w:rPr>
                <w:rFonts w:eastAsia="Times New Roman" w:cs="Tahoma" w:ascii="Tahoma" w:hAnsi="Tahoma"/>
                <w:sz w:val="22"/>
              </w:rPr>
              <w:t>14</w:t>
            </w:r>
          </w:p>
          <w:p>
            <w:pPr>
              <w:pStyle w:val="Normal"/>
              <w:widowControl w:val="false"/>
              <w:jc w:val="center"/>
              <w:rPr>
                <w:rFonts w:ascii="Tahoma" w:hAnsi="Tahoma" w:eastAsia="Times New Roman" w:cs="Tahoma"/>
                <w:sz w:val="22"/>
              </w:rPr>
            </w:pPr>
            <w:r>
              <w:rPr>
                <w:rFonts w:eastAsia="Times New Roman" w:cs="Tahoma" w:ascii="Tahoma" w:hAnsi="Tahoma"/>
                <w:sz w:val="22"/>
              </w:rPr>
            </w:r>
          </w:p>
        </w:tc>
        <w:tc>
          <w:tcPr>
            <w:tcW w:w="414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ahoma" w:hAnsi="Tahoma" w:eastAsia="Times New Roman" w:cs="Tahoma"/>
                <w:sz w:val="22"/>
              </w:rPr>
            </w:pPr>
            <w:r>
              <w:rPr>
                <w:rFonts w:eastAsia="Times New Roman" w:cs="Tahoma" w:ascii="Tahoma" w:hAnsi="Tahoma"/>
                <w:sz w:val="22"/>
              </w:rPr>
              <w:t>Special Note (</w:t>
            </w:r>
            <w:r>
              <w:rPr>
                <w:rFonts w:eastAsia="Times New Roman" w:cs="Tahoma" w:ascii="Tahoma" w:hAnsi="Tahoma"/>
                <w:i/>
                <w:sz w:val="22"/>
                <w:szCs w:val="20"/>
              </w:rPr>
              <w:t>if any</w:t>
            </w:r>
            <w:r>
              <w:rPr>
                <w:rFonts w:eastAsia="Times New Roman" w:cs="Tahoma" w:ascii="Tahoma" w:hAnsi="Tahoma"/>
                <w:sz w:val="22"/>
              </w:rPr>
              <w:t>)</w:t>
            </w:r>
          </w:p>
        </w:tc>
        <w:tc>
          <w:tcPr>
            <w:tcW w:w="3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t>:</w:t>
            </w:r>
          </w:p>
        </w:tc>
        <w:tc>
          <w:tcPr>
            <w:tcW w:w="39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2"/>
              </w:rPr>
            </w:pPr>
            <w:r>
              <w:rPr>
                <w:rFonts w:eastAsia="Times New Roman" w:cs="Tahoma" w:ascii="Tahoma" w:hAnsi="Tahoma"/>
                <w:b/>
                <w:sz w:val="22"/>
              </w:rPr>
            </w:r>
          </w:p>
        </w:tc>
      </w:tr>
    </w:tbl>
    <w:p>
      <w:pPr>
        <w:pStyle w:val="Normal"/>
        <w:ind w:left="-900" w:right="-1080" w:hanging="0"/>
        <w:jc w:val="both"/>
        <w:rPr>
          <w:rFonts w:ascii="Tahoma" w:hAnsi="Tahoma" w:cs="Tahoma"/>
        </w:rPr>
      </w:pPr>
      <w:r>
        <w:rPr>
          <w:rFonts w:cs="Tahoma" w:ascii="Tahoma" w:hAnsi="Tahoma"/>
        </w:rPr>
      </w:r>
    </w:p>
    <w:p>
      <w:pPr>
        <w:pStyle w:val="Normal"/>
        <w:ind w:right="29" w:hanging="0"/>
        <w:jc w:val="both"/>
        <w:rPr>
          <w:rFonts w:ascii="Tahoma" w:hAnsi="Tahoma" w:cs="Tahoma"/>
        </w:rPr>
      </w:pPr>
      <w:r>
        <w:rPr>
          <w:rFonts w:cs="Tahoma" w:ascii="Tahoma" w:hAnsi="Tahoma"/>
        </w:rPr>
        <w:t>Certified that the Goods and related services under the Contract has been deliveredand completed in all respects in strict compliance with the provisions of the Contract including all plans, designs, drawings, specifications and all modifications thereof as per direction and satisfaction of the Procuring Entity/Engineer-in Charge/Other (</w:t>
      </w:r>
      <w:r>
        <w:rPr>
          <w:rFonts w:cs="Tahoma" w:ascii="Tahoma" w:hAnsi="Tahoma"/>
          <w:i/>
          <w:sz w:val="18"/>
          <w:szCs w:val="18"/>
        </w:rPr>
        <w:t>specify</w:t>
      </w:r>
      <w:r>
        <w:rPr>
          <w:rFonts w:cs="Tahoma" w:ascii="Tahoma" w:hAnsi="Tahoma"/>
        </w:rPr>
        <w:t>). All defects in the Goods reported during inspection and tests have been duly rectified or replaced.</w:t>
      </w:r>
    </w:p>
    <w:p>
      <w:pPr>
        <w:pStyle w:val="Normal"/>
        <w:ind w:left="-900" w:right="-540" w:hanging="0"/>
        <w:jc w:val="both"/>
        <w:rPr>
          <w:rFonts w:ascii="Tahoma" w:hAnsi="Tahoma" w:cs="Tahoma"/>
        </w:rPr>
      </w:pPr>
      <w:r>
        <w:rPr>
          <w:rFonts w:cs="Tahoma" w:ascii="Tahoma" w:hAnsi="Tahoma"/>
        </w:rPr>
      </w:r>
    </w:p>
    <w:p>
      <w:pPr>
        <w:pStyle w:val="Normal"/>
        <w:ind w:left="-900" w:right="-540" w:hanging="0"/>
        <w:jc w:val="both"/>
        <w:rPr>
          <w:rFonts w:ascii="Tahoma" w:hAnsi="Tahoma" w:cs="Tahoma"/>
        </w:rPr>
      </w:pPr>
      <w:r>
        <w:rPr>
          <w:rFonts w:cs="Tahoma" w:ascii="Tahoma" w:hAnsi="Tahoma"/>
        </w:rPr>
      </w:r>
    </w:p>
    <w:p>
      <w:pPr>
        <w:pStyle w:val="Normal"/>
        <w:ind w:left="-900" w:right="-540" w:hanging="0"/>
        <w:jc w:val="both"/>
        <w:rPr>
          <w:rFonts w:ascii="Tahoma" w:hAnsi="Tahoma" w:cs="Tahoma"/>
        </w:rPr>
      </w:pPr>
      <w:r>
        <w:rPr>
          <w:rFonts w:cs="Tahoma" w:ascii="Tahoma" w:hAnsi="Tahoma"/>
        </w:rPr>
      </w:r>
    </w:p>
    <w:p>
      <w:pPr>
        <w:pStyle w:val="Normal"/>
        <w:ind w:left="-900" w:right="-540" w:hanging="0"/>
        <w:jc w:val="both"/>
        <w:rPr>
          <w:rFonts w:ascii="Tahoma" w:hAnsi="Tahoma" w:cs="Tahoma"/>
          <w:b/>
          <w:b/>
        </w:rPr>
      </w:pPr>
      <w:r>
        <w:rPr>
          <w:rFonts w:cs="Tahoma" w:ascii="Tahoma" w:hAnsi="Tahoma"/>
          <w:b/>
        </w:rPr>
      </w:r>
    </w:p>
    <w:p>
      <w:pPr>
        <w:pStyle w:val="Normal"/>
        <w:ind w:right="-540" w:hanging="0"/>
        <w:jc w:val="center"/>
        <w:rPr>
          <w:rFonts w:ascii="Tahoma" w:hAnsi="Tahoma" w:cs="Tahoma"/>
          <w:b/>
          <w:b/>
        </w:rPr>
      </w:pPr>
      <w:r>
        <w:rPr>
          <w:rFonts w:cs="Tahoma" w:ascii="Tahoma" w:hAnsi="Tahoma"/>
          <w:b/>
        </w:rPr>
        <w:t xml:space="preserve">           </w:t>
      </w:r>
      <w:r>
        <w:rPr>
          <w:rFonts w:cs="Tahoma" w:ascii="Tahoma" w:hAnsi="Tahoma"/>
          <w:b/>
        </w:rPr>
        <w:t>_________________________________________________</w:t>
      </w:r>
    </w:p>
    <w:p>
      <w:pPr>
        <w:pStyle w:val="Normal"/>
        <w:ind w:right="119" w:hanging="0"/>
        <w:jc w:val="right"/>
        <w:rPr>
          <w:rFonts w:ascii="Tahoma" w:hAnsi="Tahoma" w:cs="Tahoma"/>
          <w:b/>
          <w:b/>
        </w:rPr>
      </w:pPr>
      <w:r>
        <w:rPr>
          <w:rFonts w:cs="Tahoma" w:ascii="Tahoma" w:hAnsi="Tahoma"/>
          <w:b/>
        </w:rPr>
        <w:t>Name and Signature of the Issuing Authority with Designation</w:t>
      </w:r>
    </w:p>
    <w:p>
      <w:pPr>
        <w:pStyle w:val="Normal"/>
        <w:ind w:right="119" w:hanging="0"/>
        <w:jc w:val="right"/>
        <w:rPr>
          <w:rFonts w:ascii="Tahoma" w:hAnsi="Tahoma" w:cs="Tahoma"/>
          <w:i/>
          <w:i/>
          <w:sz w:val="18"/>
          <w:szCs w:val="18"/>
        </w:rPr>
      </w:pPr>
      <w:r>
        <w:rPr>
          <w:rFonts w:cs="Tahoma" w:ascii="Tahoma" w:hAnsi="Tahoma"/>
          <w:i/>
          <w:sz w:val="18"/>
          <w:szCs w:val="18"/>
        </w:rPr>
        <w:t>please turn over</w:t>
      </w:r>
    </w:p>
    <w:p>
      <w:pPr>
        <w:pStyle w:val="Normal"/>
        <w:jc w:val="center"/>
        <w:rPr>
          <w:rFonts w:ascii="Century Gothic" w:hAnsi="Century Gothic"/>
          <w:b/>
          <w:b/>
          <w:sz w:val="40"/>
          <w:szCs w:val="40"/>
          <w:u w:val="single"/>
        </w:rPr>
      </w:pPr>
      <w:r>
        <w:rPr>
          <w:rFonts w:ascii="Century Gothic" w:hAnsi="Century Gothic"/>
          <w:b/>
          <w:sz w:val="40"/>
          <w:szCs w:val="40"/>
          <w:u w:val="single"/>
        </w:rPr>
      </w:r>
    </w:p>
    <w:p>
      <w:pPr>
        <w:pStyle w:val="Normal"/>
        <w:jc w:val="center"/>
        <w:rPr>
          <w:rFonts w:ascii="Century Gothic" w:hAnsi="Century Gothic"/>
          <w:b/>
          <w:b/>
          <w:sz w:val="40"/>
          <w:szCs w:val="40"/>
          <w:u w:val="single"/>
        </w:rPr>
      </w:pPr>
      <w:r>
        <w:rPr>
          <w:rFonts w:ascii="Century Gothic" w:hAnsi="Century Gothic"/>
          <w:b/>
          <w:sz w:val="40"/>
          <w:szCs w:val="40"/>
          <w:u w:val="single"/>
        </w:rPr>
      </w:r>
    </w:p>
    <w:p>
      <w:pPr>
        <w:pStyle w:val="Normal"/>
        <w:jc w:val="center"/>
        <w:rPr>
          <w:rFonts w:ascii="Century Gothic" w:hAnsi="Century Gothic"/>
          <w:b/>
          <w:b/>
          <w:sz w:val="40"/>
          <w:szCs w:val="40"/>
          <w:u w:val="single"/>
        </w:rPr>
      </w:pPr>
      <w:r>
        <w:rPr>
          <w:rFonts w:ascii="Century Gothic" w:hAnsi="Century Gothic"/>
          <w:b/>
          <w:sz w:val="40"/>
          <w:szCs w:val="40"/>
          <w:u w:val="single"/>
        </w:rPr>
      </w:r>
    </w:p>
    <w:p>
      <w:pPr>
        <w:pStyle w:val="Normal"/>
        <w:jc w:val="center"/>
        <w:rPr>
          <w:rFonts w:ascii="Century Gothic" w:hAnsi="Century Gothic"/>
          <w:b/>
          <w:b/>
          <w:sz w:val="40"/>
          <w:szCs w:val="40"/>
          <w:u w:val="single"/>
        </w:rPr>
      </w:pPr>
      <w:r>
        <w:rPr>
          <w:rFonts w:ascii="Century Gothic" w:hAnsi="Century Gothic"/>
          <w:b/>
          <w:sz w:val="40"/>
          <w:szCs w:val="40"/>
          <w:u w:val="single"/>
        </w:rPr>
      </w:r>
    </w:p>
    <w:p>
      <w:pPr>
        <w:pStyle w:val="Normal"/>
        <w:jc w:val="center"/>
        <w:rPr>
          <w:rFonts w:ascii="Century Gothic" w:hAnsi="Century Gothic"/>
          <w:b/>
          <w:b/>
          <w:sz w:val="40"/>
          <w:szCs w:val="40"/>
          <w:u w:val="single"/>
        </w:rPr>
      </w:pPr>
      <w:r>
        <w:rPr>
          <w:rFonts w:ascii="Century Gothic" w:hAnsi="Century Gothic"/>
          <w:b/>
          <w:sz w:val="40"/>
          <w:szCs w:val="40"/>
          <w:u w:val="single"/>
        </w:rPr>
      </w:r>
    </w:p>
    <w:p>
      <w:pPr>
        <w:pStyle w:val="Normal"/>
        <w:jc w:val="center"/>
        <w:rPr>
          <w:rFonts w:ascii="Century Gothic" w:hAnsi="Century Gothic"/>
          <w:b/>
          <w:b/>
          <w:sz w:val="40"/>
          <w:szCs w:val="40"/>
          <w:u w:val="single"/>
        </w:rPr>
      </w:pPr>
      <w:r>
        <w:rPr>
          <w:rFonts w:ascii="Century Gothic" w:hAnsi="Century Gothic"/>
          <w:b/>
          <w:sz w:val="40"/>
          <w:szCs w:val="40"/>
          <w:u w:val="single"/>
        </w:rPr>
        <w:t>Details of Delivery Completed</w:t>
      </w:r>
    </w:p>
    <w:p>
      <w:pPr>
        <w:pStyle w:val="Normal"/>
        <w:jc w:val="center"/>
        <w:rPr>
          <w:rFonts w:ascii="Century Gothic" w:hAnsi="Century Gothic"/>
          <w:b/>
          <w:b/>
          <w:sz w:val="18"/>
          <w:szCs w:val="18"/>
        </w:rPr>
      </w:pPr>
      <w:r>
        <w:rPr>
          <w:rFonts w:ascii="Century Gothic" w:hAnsi="Century Gothic"/>
          <w:b/>
          <w:sz w:val="18"/>
          <w:szCs w:val="18"/>
        </w:rPr>
      </w:r>
    </w:p>
    <w:tbl>
      <w:tblPr>
        <w:tblW w:w="8910" w:type="dxa"/>
        <w:jc w:val="left"/>
        <w:tblInd w:w="198" w:type="dxa"/>
        <w:tblLayout w:type="fixed"/>
        <w:tblCellMar>
          <w:top w:w="0" w:type="dxa"/>
          <w:left w:w="108" w:type="dxa"/>
          <w:bottom w:w="0" w:type="dxa"/>
          <w:right w:w="108" w:type="dxa"/>
        </w:tblCellMar>
        <w:tblLook w:val="01e0" w:noHBand="0" w:noVBand="0" w:firstColumn="1" w:lastRow="1" w:lastColumn="1" w:firstRow="1"/>
      </w:tblPr>
      <w:tblGrid>
        <w:gridCol w:w="719"/>
        <w:gridCol w:w="4861"/>
        <w:gridCol w:w="3330"/>
      </w:tblGrid>
      <w:tr>
        <w:trPr/>
        <w:tc>
          <w:tcPr>
            <w:tcW w:w="891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entury Gothic" w:hAnsi="Century Gothic" w:eastAsia="Times New Roman"/>
                <w:b/>
                <w:b/>
                <w:sz w:val="32"/>
                <w:szCs w:val="32"/>
              </w:rPr>
            </w:pPr>
            <w:r>
              <w:rPr>
                <w:rFonts w:eastAsia="Times New Roman" w:ascii="Century Gothic" w:hAnsi="Century Gothic"/>
                <w:b/>
                <w:sz w:val="36"/>
                <w:szCs w:val="36"/>
              </w:rPr>
              <w:t xml:space="preserve">Supplier: </w:t>
            </w:r>
            <w:r>
              <w:rPr>
                <w:rFonts w:eastAsia="Times New Roman" w:cs="Tahoma" w:ascii="Tahoma" w:hAnsi="Tahoma"/>
                <w:b/>
                <w:sz w:val="18"/>
                <w:szCs w:val="18"/>
              </w:rPr>
              <w:t>[insert legal title]</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entury Gothic" w:hAnsi="Century Gothic" w:eastAsia="Times New Roman"/>
                <w:b/>
                <w:b/>
              </w:rPr>
            </w:pPr>
            <w:r>
              <w:rPr>
                <w:rFonts w:eastAsia="Times New Roman" w:ascii="Century Gothic" w:hAnsi="Century Gothic"/>
                <w:b/>
              </w:rPr>
              <w:t>No</w:t>
            </w:r>
          </w:p>
        </w:tc>
        <w:tc>
          <w:tcPr>
            <w:tcW w:w="486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entury Gothic" w:hAnsi="Century Gothic" w:eastAsia="Times New Roman"/>
                <w:b/>
                <w:b/>
                <w:sz w:val="28"/>
                <w:szCs w:val="28"/>
              </w:rPr>
            </w:pPr>
            <w:r>
              <w:rPr>
                <w:rFonts w:eastAsia="Times New Roman" w:ascii="Century Gothic" w:hAnsi="Century Gothic"/>
                <w:b/>
                <w:sz w:val="28"/>
                <w:szCs w:val="28"/>
              </w:rPr>
              <w:t xml:space="preserve">                  </w:t>
            </w:r>
            <w:r>
              <w:rPr>
                <w:rFonts w:eastAsia="Times New Roman" w:ascii="Century Gothic" w:hAnsi="Century Gothic"/>
                <w:b/>
                <w:sz w:val="28"/>
                <w:szCs w:val="28"/>
              </w:rPr>
              <w:t>Major Items of Delivery</w:t>
            </w:r>
          </w:p>
        </w:tc>
        <w:tc>
          <w:tcPr>
            <w:tcW w:w="333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entury Gothic" w:hAnsi="Century Gothic" w:eastAsia="Times New Roman"/>
                <w:b/>
                <w:b/>
                <w:sz w:val="28"/>
                <w:szCs w:val="28"/>
              </w:rPr>
            </w:pPr>
            <w:r>
              <w:rPr>
                <w:rFonts w:eastAsia="Times New Roman" w:ascii="Century Gothic" w:hAnsi="Century Gothic"/>
                <w:b/>
                <w:sz w:val="28"/>
                <w:szCs w:val="28"/>
              </w:rPr>
              <w:t>Total Value</w:t>
            </w:r>
          </w:p>
          <w:p>
            <w:pPr>
              <w:pStyle w:val="Normal"/>
              <w:widowControl w:val="false"/>
              <w:jc w:val="center"/>
              <w:rPr>
                <w:rFonts w:ascii="Century Gothic" w:hAnsi="Century Gothic" w:eastAsia="Times New Roman"/>
                <w:b/>
                <w:b/>
                <w:sz w:val="20"/>
                <w:szCs w:val="20"/>
              </w:rPr>
            </w:pPr>
            <w:r>
              <w:rPr>
                <w:rFonts w:eastAsia="Times New Roman" w:ascii="Century Gothic" w:hAnsi="Century Gothic"/>
                <w:b/>
                <w:sz w:val="20"/>
                <w:szCs w:val="20"/>
              </w:rPr>
              <w:t>(in Contract Currency)</w:t>
            </w:r>
          </w:p>
        </w:tc>
      </w:tr>
      <w:tr>
        <w:trPr>
          <w:trHeight w:val="90" w:hRule="atLeast"/>
        </w:trPr>
        <w:tc>
          <w:tcPr>
            <w:tcW w:w="71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entury Gothic" w:hAnsi="Century Gothic" w:eastAsia="Times New Roman"/>
                <w:b/>
                <w:b/>
                <w:sz w:val="32"/>
                <w:szCs w:val="32"/>
              </w:rPr>
            </w:pPr>
            <w:r>
              <w:rPr>
                <w:rFonts w:eastAsia="Times New Roman" w:ascii="Century Gothic" w:hAnsi="Century Gothic"/>
                <w:b/>
                <w:sz w:val="32"/>
                <w:szCs w:val="32"/>
              </w:rPr>
            </w:r>
          </w:p>
        </w:tc>
        <w:tc>
          <w:tcPr>
            <w:tcW w:w="486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entury Gothic" w:hAnsi="Century Gothic" w:eastAsia="Times New Roman"/>
                <w:b/>
                <w:b/>
                <w:sz w:val="32"/>
                <w:szCs w:val="32"/>
              </w:rPr>
            </w:pPr>
            <w:r>
              <w:rPr>
                <w:rFonts w:eastAsia="Times New Roman" w:ascii="Century Gothic" w:hAnsi="Century Gothic"/>
                <w:b/>
                <w:sz w:val="32"/>
                <w:szCs w:val="32"/>
              </w:rPr>
            </w:r>
          </w:p>
        </w:tc>
        <w:tc>
          <w:tcPr>
            <w:tcW w:w="333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entury Gothic" w:hAnsi="Century Gothic" w:eastAsia="Times New Roman"/>
                <w:b/>
                <w:b/>
                <w:sz w:val="32"/>
                <w:szCs w:val="32"/>
              </w:rPr>
            </w:pPr>
            <w:r>
              <w:rPr>
                <w:rFonts w:eastAsia="Times New Roman" w:ascii="Century Gothic" w:hAnsi="Century Gothic"/>
                <w:b/>
                <w:sz w:val="32"/>
                <w:szCs w:val="32"/>
              </w:rPr>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entury Gothic" w:hAnsi="Century Gothic" w:eastAsia="Times New Roman"/>
                <w:b/>
                <w:b/>
                <w:sz w:val="32"/>
                <w:szCs w:val="32"/>
              </w:rPr>
            </w:pPr>
            <w:r>
              <w:rPr>
                <w:rFonts w:eastAsia="Times New Roman" w:ascii="Century Gothic" w:hAnsi="Century Gothic"/>
                <w:b/>
                <w:sz w:val="32"/>
                <w:szCs w:val="32"/>
              </w:rPr>
            </w:r>
          </w:p>
        </w:tc>
        <w:tc>
          <w:tcPr>
            <w:tcW w:w="486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entury Gothic" w:hAnsi="Century Gothic" w:eastAsia="Times New Roman"/>
                <w:b/>
                <w:b/>
                <w:sz w:val="32"/>
                <w:szCs w:val="32"/>
              </w:rPr>
            </w:pPr>
            <w:r>
              <w:rPr>
                <w:rFonts w:eastAsia="Times New Roman" w:ascii="Century Gothic" w:hAnsi="Century Gothic"/>
                <w:b/>
                <w:sz w:val="32"/>
                <w:szCs w:val="32"/>
              </w:rPr>
            </w:r>
          </w:p>
        </w:tc>
        <w:tc>
          <w:tcPr>
            <w:tcW w:w="333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entury Gothic" w:hAnsi="Century Gothic" w:eastAsia="Times New Roman"/>
                <w:b/>
                <w:b/>
                <w:sz w:val="32"/>
                <w:szCs w:val="32"/>
              </w:rPr>
            </w:pPr>
            <w:r>
              <w:rPr>
                <w:rFonts w:eastAsia="Times New Roman" w:ascii="Century Gothic" w:hAnsi="Century Gothic"/>
                <w:b/>
                <w:sz w:val="32"/>
                <w:szCs w:val="32"/>
              </w:rPr>
            </w:r>
          </w:p>
        </w:tc>
      </w:tr>
    </w:tbl>
    <w:p>
      <w:pPr>
        <w:pStyle w:val="Normal"/>
        <w:jc w:val="center"/>
        <w:rPr>
          <w:rFonts w:ascii="Century Gothic" w:hAnsi="Century Gothic"/>
          <w:b/>
          <w:b/>
          <w:sz w:val="18"/>
          <w:szCs w:val="18"/>
        </w:rPr>
      </w:pPr>
      <w:r>
        <w:rPr>
          <w:rFonts w:ascii="Century Gothic" w:hAnsi="Century Gothic"/>
          <w:b/>
          <w:sz w:val="18"/>
          <w:szCs w:val="18"/>
        </w:rPr>
      </w:r>
    </w:p>
    <w:p>
      <w:pPr>
        <w:pStyle w:val="Normal"/>
        <w:jc w:val="center"/>
        <w:rPr>
          <w:rFonts w:ascii="Century Gothic" w:hAnsi="Century Gothic"/>
          <w:b/>
          <w:b/>
          <w:sz w:val="20"/>
          <w:szCs w:val="18"/>
        </w:rPr>
      </w:pPr>
      <w:r>
        <w:rPr>
          <w:rFonts w:ascii="Century Gothic" w:hAnsi="Century Gothic"/>
          <w:b/>
          <w:sz w:val="20"/>
          <w:szCs w:val="18"/>
        </w:rPr>
        <w:t xml:space="preserve">Note: Figures shown must correspond to Total Value </w:t>
      </w:r>
    </w:p>
    <w:p>
      <w:pPr>
        <w:pStyle w:val="Normal"/>
        <w:jc w:val="center"/>
        <w:rPr>
          <w:rFonts w:ascii="Century Gothic" w:hAnsi="Century Gothic"/>
          <w:b/>
          <w:b/>
          <w:sz w:val="34"/>
          <w:szCs w:val="32"/>
        </w:rPr>
      </w:pPr>
      <w:r>
        <w:rPr>
          <w:rFonts w:ascii="Century Gothic" w:hAnsi="Century Gothic"/>
          <w:b/>
          <w:sz w:val="34"/>
          <w:szCs w:val="32"/>
        </w:rPr>
      </w:r>
    </w:p>
    <w:p>
      <w:pPr>
        <w:pStyle w:val="Normal"/>
        <w:jc w:val="center"/>
        <w:rPr>
          <w:rFonts w:ascii="Century Gothic" w:hAnsi="Century Gothic"/>
          <w:b/>
          <w:b/>
          <w:sz w:val="32"/>
          <w:szCs w:val="32"/>
        </w:rPr>
      </w:pPr>
      <w:r>
        <w:rPr>
          <w:rFonts w:ascii="Century Gothic" w:hAnsi="Century Gothic"/>
          <w:b/>
          <w:sz w:val="32"/>
          <w:szCs w:val="32"/>
        </w:rPr>
      </w:r>
    </w:p>
    <w:p>
      <w:pPr>
        <w:pStyle w:val="Normal"/>
        <w:jc w:val="center"/>
        <w:rPr>
          <w:rFonts w:ascii="Century Gothic" w:hAnsi="Century Gothic"/>
          <w:b/>
          <w:b/>
          <w:sz w:val="32"/>
          <w:szCs w:val="32"/>
        </w:rPr>
      </w:pPr>
      <w:r>
        <w:rPr>
          <w:rFonts w:ascii="Century Gothic" w:hAnsi="Century Gothic"/>
          <w:b/>
          <w:sz w:val="32"/>
          <w:szCs w:val="32"/>
        </w:rPr>
      </w:r>
    </w:p>
    <w:p>
      <w:pPr>
        <w:pStyle w:val="Normal"/>
        <w:jc w:val="center"/>
        <w:rPr>
          <w:rFonts w:ascii="Century Gothic" w:hAnsi="Century Gothic"/>
          <w:b/>
          <w:b/>
          <w:sz w:val="32"/>
          <w:szCs w:val="32"/>
        </w:rPr>
      </w:pPr>
      <w:r>
        <w:rPr>
          <w:rFonts w:ascii="Century Gothic" w:hAnsi="Century Gothic"/>
          <w:b/>
          <w:sz w:val="32"/>
          <w:szCs w:val="32"/>
        </w:rPr>
      </w:r>
    </w:p>
    <w:p>
      <w:pPr>
        <w:pStyle w:val="Normal"/>
        <w:jc w:val="center"/>
        <w:rPr>
          <w:rFonts w:ascii="Century Gothic" w:hAnsi="Century Gothic"/>
          <w:b/>
          <w:b/>
          <w:sz w:val="32"/>
          <w:szCs w:val="32"/>
        </w:rPr>
      </w:pPr>
      <w:r>
        <w:rPr>
          <w:rFonts w:ascii="Century Gothic" w:hAnsi="Century Gothic"/>
          <w:b/>
          <w:sz w:val="32"/>
          <w:szCs w:val="32"/>
        </w:rPr>
        <w:t>Sub-contractor</w:t>
      </w:r>
    </w:p>
    <w:p>
      <w:pPr>
        <w:pStyle w:val="Normal"/>
        <w:jc w:val="center"/>
        <w:rPr>
          <w:rFonts w:ascii="Century Gothic" w:hAnsi="Century Gothic"/>
          <w:b/>
          <w:b/>
          <w:sz w:val="20"/>
          <w:szCs w:val="20"/>
        </w:rPr>
      </w:pPr>
      <w:r>
        <w:rPr>
          <w:rFonts w:ascii="Century Gothic" w:hAnsi="Century Gothic"/>
          <w:b/>
          <w:sz w:val="20"/>
          <w:szCs w:val="20"/>
        </w:rPr>
        <w:t>[delete, if not appropriate]</w:t>
      </w:r>
    </w:p>
    <w:p>
      <w:pPr>
        <w:pStyle w:val="Normal"/>
        <w:jc w:val="center"/>
        <w:rPr>
          <w:rFonts w:ascii="Tahoma" w:hAnsi="Tahoma" w:cs="Tahoma"/>
          <w:b/>
          <w:b/>
        </w:rPr>
      </w:pPr>
      <w:r>
        <w:rPr>
          <w:rFonts w:cs="Tahoma" w:ascii="Tahoma" w:hAnsi="Tahoma"/>
          <w:b/>
        </w:rPr>
      </w:r>
    </w:p>
    <w:tbl>
      <w:tblPr>
        <w:tblW w:w="8910" w:type="dxa"/>
        <w:jc w:val="left"/>
        <w:tblInd w:w="198" w:type="dxa"/>
        <w:tblLayout w:type="fixed"/>
        <w:tblCellMar>
          <w:top w:w="0" w:type="dxa"/>
          <w:left w:w="108" w:type="dxa"/>
          <w:bottom w:w="0" w:type="dxa"/>
          <w:right w:w="108" w:type="dxa"/>
        </w:tblCellMar>
        <w:tblLook w:val="01e0" w:noHBand="0" w:noVBand="0" w:firstColumn="1" w:lastRow="1" w:lastColumn="1" w:firstRow="1"/>
      </w:tblPr>
      <w:tblGrid>
        <w:gridCol w:w="719"/>
        <w:gridCol w:w="4861"/>
        <w:gridCol w:w="3330"/>
      </w:tblGrid>
      <w:tr>
        <w:trPr/>
        <w:tc>
          <w:tcPr>
            <w:tcW w:w="8910" w:type="dxa"/>
            <w:gridSpan w:val="3"/>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jc w:val="center"/>
              <w:rPr>
                <w:rFonts w:ascii="Tahoma" w:hAnsi="Tahoma" w:eastAsia="Times New Roman" w:cs="Tahoma"/>
                <w:b/>
                <w:b/>
                <w:sz w:val="18"/>
                <w:szCs w:val="18"/>
              </w:rPr>
            </w:pPr>
            <w:r>
              <w:rPr>
                <w:rFonts w:eastAsia="Times New Roman" w:cs="Tahoma" w:ascii="Tahoma" w:hAnsi="Tahoma"/>
                <w:b/>
              </w:rPr>
              <w:t xml:space="preserve">Sub-contractor: </w:t>
            </w:r>
            <w:r>
              <w:rPr>
                <w:rFonts w:eastAsia="Times New Roman" w:cs="Tahoma" w:ascii="Tahoma" w:hAnsi="Tahoma"/>
                <w:b/>
                <w:sz w:val="18"/>
                <w:szCs w:val="18"/>
              </w:rPr>
              <w:t>[insert legal title]</w:t>
            </w:r>
          </w:p>
          <w:p>
            <w:pPr>
              <w:pStyle w:val="Normal"/>
              <w:widowControl w:val="false"/>
              <w:jc w:val="center"/>
              <w:rPr>
                <w:rFonts w:ascii="Tahoma" w:hAnsi="Tahoma" w:eastAsia="Times New Roman" w:cs="Tahoma"/>
                <w:b/>
                <w:b/>
                <w:sz w:val="18"/>
                <w:szCs w:val="18"/>
              </w:rPr>
            </w:pPr>
            <w:r>
              <w:rPr>
                <w:rFonts w:eastAsia="Times New Roman" w:cs="Tahoma" w:ascii="Tahoma" w:hAnsi="Tahoma"/>
                <w:b/>
                <w:sz w:val="18"/>
                <w:szCs w:val="18"/>
              </w:rPr>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0"/>
                <w:szCs w:val="20"/>
              </w:rPr>
            </w:pPr>
            <w:r>
              <w:rPr>
                <w:rFonts w:eastAsia="Times New Roman" w:cs="Tahoma" w:ascii="Tahoma" w:hAnsi="Tahoma"/>
                <w:b/>
                <w:sz w:val="20"/>
                <w:szCs w:val="20"/>
              </w:rPr>
              <w:t>No</w:t>
            </w:r>
          </w:p>
        </w:tc>
        <w:tc>
          <w:tcPr>
            <w:tcW w:w="486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sz w:val="20"/>
                <w:szCs w:val="20"/>
              </w:rPr>
            </w:pPr>
            <w:r>
              <w:rPr>
                <w:rFonts w:eastAsia="Times New Roman" w:cs="Tahoma" w:ascii="Tahoma" w:hAnsi="Tahoma"/>
                <w:b/>
                <w:sz w:val="20"/>
                <w:szCs w:val="20"/>
              </w:rPr>
              <w:t>Items/Activities</w:t>
            </w:r>
          </w:p>
          <w:p>
            <w:pPr>
              <w:pStyle w:val="Normal"/>
              <w:widowControl w:val="false"/>
              <w:jc w:val="center"/>
              <w:rPr>
                <w:rFonts w:ascii="Tahoma" w:hAnsi="Tahoma" w:eastAsia="Times New Roman" w:cs="Tahoma"/>
                <w:b/>
                <w:b/>
                <w:sz w:val="18"/>
                <w:szCs w:val="18"/>
              </w:rPr>
            </w:pPr>
            <w:r>
              <w:rPr>
                <w:rFonts w:eastAsia="Times New Roman" w:cs="Tahoma" w:ascii="Tahoma" w:hAnsi="Tahoma"/>
                <w:b/>
                <w:sz w:val="18"/>
                <w:szCs w:val="18"/>
              </w:rPr>
              <w:t xml:space="preserve">                 </w:t>
            </w:r>
            <w:r>
              <w:rPr>
                <w:rFonts w:eastAsia="Times New Roman" w:cs="Tahoma" w:ascii="Tahoma" w:hAnsi="Tahoma"/>
                <w:b/>
                <w:sz w:val="18"/>
                <w:szCs w:val="18"/>
              </w:rPr>
              <w:t>[reference drawn to Sub-contractor Information]</w:t>
            </w:r>
          </w:p>
        </w:tc>
        <w:tc>
          <w:tcPr>
            <w:tcW w:w="333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entury Gothic" w:hAnsi="Century Gothic" w:eastAsia="Times New Roman"/>
                <w:b/>
                <w:b/>
                <w:sz w:val="28"/>
                <w:szCs w:val="28"/>
              </w:rPr>
            </w:pPr>
            <w:r>
              <w:rPr>
                <w:rFonts w:eastAsia="Times New Roman" w:ascii="Century Gothic" w:hAnsi="Century Gothic"/>
                <w:b/>
                <w:sz w:val="28"/>
                <w:szCs w:val="28"/>
              </w:rPr>
              <w:t>Value</w:t>
            </w:r>
          </w:p>
          <w:p>
            <w:pPr>
              <w:pStyle w:val="Normal"/>
              <w:widowControl w:val="false"/>
              <w:jc w:val="center"/>
              <w:rPr>
                <w:rFonts w:ascii="Tahoma" w:hAnsi="Tahoma" w:eastAsia="Times New Roman" w:cs="Tahoma"/>
                <w:b/>
                <w:b/>
              </w:rPr>
            </w:pPr>
            <w:r>
              <w:rPr>
                <w:rFonts w:eastAsia="Times New Roman" w:ascii="Century Gothic" w:hAnsi="Century Gothic"/>
                <w:b/>
                <w:sz w:val="20"/>
                <w:szCs w:val="20"/>
              </w:rPr>
              <w:t>(in Contract Currency)</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rPr>
            </w:pPr>
            <w:r>
              <w:rPr>
                <w:rFonts w:eastAsia="Times New Roman" w:cs="Tahoma" w:ascii="Tahoma" w:hAnsi="Tahoma"/>
                <w:b/>
              </w:rPr>
            </w:r>
          </w:p>
        </w:tc>
        <w:tc>
          <w:tcPr>
            <w:tcW w:w="486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rPr>
            </w:pPr>
            <w:r>
              <w:rPr>
                <w:rFonts w:eastAsia="Times New Roman" w:cs="Tahoma" w:ascii="Tahoma" w:hAnsi="Tahoma"/>
                <w:b/>
              </w:rPr>
            </w:r>
          </w:p>
        </w:tc>
        <w:tc>
          <w:tcPr>
            <w:tcW w:w="333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rPr>
            </w:pPr>
            <w:r>
              <w:rPr>
                <w:rFonts w:eastAsia="Times New Roman" w:cs="Tahoma" w:ascii="Tahoma" w:hAnsi="Tahoma"/>
                <w:b/>
              </w:rPr>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rPr>
            </w:pPr>
            <w:r>
              <w:rPr>
                <w:rFonts w:eastAsia="Times New Roman" w:cs="Tahoma" w:ascii="Tahoma" w:hAnsi="Tahoma"/>
                <w:b/>
              </w:rPr>
            </w:r>
          </w:p>
        </w:tc>
        <w:tc>
          <w:tcPr>
            <w:tcW w:w="486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rPr>
            </w:pPr>
            <w:r>
              <w:rPr>
                <w:rFonts w:eastAsia="Times New Roman" w:cs="Tahoma" w:ascii="Tahoma" w:hAnsi="Tahoma"/>
                <w:b/>
              </w:rPr>
            </w:r>
          </w:p>
        </w:tc>
        <w:tc>
          <w:tcPr>
            <w:tcW w:w="333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ahoma" w:hAnsi="Tahoma" w:eastAsia="Times New Roman" w:cs="Tahoma"/>
                <w:b/>
                <w:b/>
              </w:rPr>
            </w:pPr>
            <w:r>
              <w:rPr>
                <w:rFonts w:eastAsia="Times New Roman" w:cs="Tahoma" w:ascii="Tahoma" w:hAnsi="Tahoma"/>
                <w:b/>
              </w:rPr>
            </w:r>
          </w:p>
        </w:tc>
      </w:tr>
    </w:tbl>
    <w:p>
      <w:pPr>
        <w:pStyle w:val="Normal"/>
        <w:ind w:right="-540" w:hanging="0"/>
        <w:jc w:val="right"/>
        <w:rPr>
          <w:rFonts w:ascii="Tahoma" w:hAnsi="Tahoma" w:cs="Tahoma"/>
          <w:b/>
          <w:b/>
        </w:rPr>
      </w:pPr>
      <w:r>
        <w:rPr>
          <w:rFonts w:cs="Tahoma" w:ascii="Tahoma" w:hAnsi="Tahoma"/>
          <w:b/>
        </w:rPr>
      </w:r>
    </w:p>
    <w:p>
      <w:pPr>
        <w:pStyle w:val="Normal"/>
        <w:ind w:right="-540" w:hanging="0"/>
        <w:jc w:val="right"/>
        <w:rPr>
          <w:rFonts w:ascii="Tahoma" w:hAnsi="Tahoma" w:cs="Tahoma"/>
          <w:b/>
          <w:b/>
        </w:rPr>
      </w:pPr>
      <w:r>
        <w:rPr>
          <w:rFonts w:cs="Tahoma" w:ascii="Tahoma" w:hAnsi="Tahoma"/>
          <w:b/>
        </w:rPr>
      </w:r>
    </w:p>
    <w:p>
      <w:pPr>
        <w:pStyle w:val="Normal"/>
        <w:ind w:right="-540" w:hanging="0"/>
        <w:jc w:val="right"/>
        <w:rPr>
          <w:rFonts w:ascii="Tahoma" w:hAnsi="Tahoma" w:cs="Tahoma"/>
          <w:b/>
          <w:b/>
        </w:rPr>
      </w:pPr>
      <w:r>
        <w:rPr>
          <w:rFonts w:cs="Tahoma" w:ascii="Tahoma" w:hAnsi="Tahoma"/>
          <w:b/>
        </w:rPr>
      </w:r>
    </w:p>
    <w:p>
      <w:pPr>
        <w:pStyle w:val="Normal"/>
        <w:ind w:right="-540" w:hanging="0"/>
        <w:jc w:val="right"/>
        <w:rPr>
          <w:rFonts w:ascii="Tahoma" w:hAnsi="Tahoma" w:cs="Tahoma"/>
          <w:b/>
          <w:b/>
        </w:rPr>
      </w:pPr>
      <w:r>
        <w:rPr>
          <w:rFonts w:cs="Tahoma" w:ascii="Tahoma" w:hAnsi="Tahoma"/>
          <w:b/>
        </w:rPr>
      </w:r>
    </w:p>
    <w:p>
      <w:pPr>
        <w:pStyle w:val="Normal"/>
        <w:ind w:right="-540" w:hanging="0"/>
        <w:jc w:val="right"/>
        <w:rPr>
          <w:rFonts w:ascii="Tahoma" w:hAnsi="Tahoma" w:cs="Tahoma"/>
          <w:b/>
          <w:b/>
        </w:rPr>
      </w:pPr>
      <w:r>
        <w:rPr>
          <w:rFonts w:cs="Tahoma" w:ascii="Tahoma" w:hAnsi="Tahoma"/>
          <w:b/>
        </w:rPr>
      </w:r>
    </w:p>
    <w:p>
      <w:pPr>
        <w:pStyle w:val="Normal"/>
        <w:ind w:right="29" w:hanging="0"/>
        <w:jc w:val="right"/>
        <w:rPr>
          <w:rFonts w:ascii="Tahoma" w:hAnsi="Tahoma" w:cs="Tahoma"/>
          <w:b/>
          <w:b/>
        </w:rPr>
      </w:pPr>
      <w:r>
        <w:rPr>
          <w:rFonts w:cs="Tahoma" w:ascii="Tahoma" w:hAnsi="Tahoma"/>
          <w:b/>
        </w:rPr>
        <w:t>________________________________</w:t>
      </w:r>
    </w:p>
    <w:p>
      <w:pPr>
        <w:pStyle w:val="Normal"/>
        <w:tabs>
          <w:tab w:val="clear" w:pos="720"/>
          <w:tab w:val="right" w:pos="7254" w:leader="none"/>
        </w:tabs>
        <w:spacing w:before="120" w:after="120"/>
        <w:ind w:left="4050" w:hanging="0"/>
        <w:jc w:val="center"/>
        <w:rPr>
          <w:rFonts w:ascii="Arial" w:hAnsi="Arial" w:eastAsia="Arial Unicode MS" w:cs="Arial"/>
          <w:b/>
          <w:b/>
          <w:iCs/>
          <w:sz w:val="22"/>
          <w:szCs w:val="22"/>
          <w:lang w:val="en-GB"/>
        </w:rPr>
      </w:pPr>
      <w:r>
        <w:rPr>
          <w:rFonts w:eastAsia="Arial Unicode MS" w:cs="Arial" w:ascii="Arial" w:hAnsi="Arial"/>
          <w:b/>
          <w:iCs/>
          <w:sz w:val="22"/>
          <w:szCs w:val="22"/>
          <w:lang w:val="en-GB"/>
        </w:rPr>
        <w:t>Professor Dr. Md. Mustafizur Rahman</w:t>
      </w:r>
    </w:p>
    <w:p>
      <w:pPr>
        <w:pStyle w:val="Normal"/>
        <w:ind w:left="4050" w:hanging="0"/>
        <w:jc w:val="center"/>
        <w:rPr>
          <w:rFonts w:ascii="Arial" w:hAnsi="Arial" w:eastAsia="Arial Unicode MS" w:cs="Arial"/>
          <w:b/>
          <w:b/>
          <w:iCs/>
          <w:sz w:val="22"/>
          <w:szCs w:val="22"/>
          <w:lang w:val="en-GB"/>
        </w:rPr>
      </w:pPr>
      <w:r>
        <w:rPr>
          <w:rFonts w:eastAsia="Arial Unicode MS" w:cs="Arial" w:ascii="Arial" w:hAnsi="Arial"/>
          <w:b/>
          <w:iCs/>
          <w:sz w:val="22"/>
          <w:szCs w:val="22"/>
          <w:lang w:val="en-GB"/>
        </w:rPr>
        <w:t>Convenor, Online Admission Committee</w:t>
      </w:r>
    </w:p>
    <w:p>
      <w:pPr>
        <w:pStyle w:val="Normal"/>
        <w:tabs>
          <w:tab w:val="clear" w:pos="720"/>
          <w:tab w:val="right" w:pos="7254" w:leader="none"/>
        </w:tabs>
        <w:spacing w:before="120" w:after="120"/>
        <w:ind w:left="4050" w:hanging="0"/>
        <w:jc w:val="center"/>
        <w:rPr>
          <w:rFonts w:ascii="Arial" w:hAnsi="Arial" w:eastAsia="Arial Unicode MS" w:cs="Arial"/>
          <w:b/>
          <w:b/>
          <w:iCs/>
          <w:sz w:val="22"/>
          <w:szCs w:val="22"/>
          <w:lang w:val="en-GB"/>
        </w:rPr>
      </w:pPr>
      <w:r>
        <w:rPr>
          <w:rFonts w:eastAsia="Arial Unicode MS" w:cs="Arial" w:ascii="Arial" w:hAnsi="Arial"/>
          <w:b/>
          <w:iCs/>
          <w:sz w:val="22"/>
          <w:szCs w:val="22"/>
          <w:lang w:val="en-GB"/>
        </w:rPr>
        <w:t>Central Admission Office, University of Dhaka</w:t>
      </w:r>
    </w:p>
    <w:p>
      <w:pPr>
        <w:pStyle w:val="Normal"/>
        <w:rPr>
          <w:b/>
          <w:b/>
          <w:bCs/>
          <w:sz w:val="32"/>
          <w:szCs w:val="32"/>
          <w:lang w:val="en-GB"/>
        </w:rPr>
      </w:pPr>
      <w:r>
        <w:rPr/>
      </w:r>
    </w:p>
    <w:sectPr>
      <w:footerReference w:type="default" r:id="rId8"/>
      <w:type w:val="nextPage"/>
      <w:pgSz w:w="11906" w:h="16838"/>
      <w:pgMar w:left="1440" w:right="1440" w:gutter="0" w:header="0" w:top="1440" w:footer="720" w:bottom="144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Bold">
    <w:charset w:val="01"/>
    <w:family w:val="roman"/>
    <w:pitch w:val="variable"/>
  </w:font>
  <w:font w:name="Arial">
    <w:charset w:val="01"/>
    <w:family w:val="roman"/>
    <w:pitch w:val="variable"/>
  </w:font>
  <w:font w:name="Tms Rmn">
    <w:altName w:val="Times New Roman"/>
    <w:charset w:val="01"/>
    <w:family w:val="roman"/>
    <w:pitch w:val="variable"/>
  </w:font>
  <w:font w:name="Liberation Sans">
    <w:altName w:val="Arial"/>
    <w:charset w:val="01"/>
    <w:family w:val="roman"/>
    <w:pitch w:val="variable"/>
  </w:font>
  <w:font w:name="Arial Unicode MS">
    <w:charset w:val="01"/>
    <w:family w:val="roman"/>
    <w:pitch w:val="variable"/>
  </w:font>
  <w:font w:name="Tahoma">
    <w:charset w:val="01"/>
    <w:family w:val="roman"/>
    <w:pitch w:val="variable"/>
  </w:font>
  <w:font w:name="Calibri">
    <w:charset w:val="01"/>
    <w:family w:val="roman"/>
    <w:pitch w:val="variable"/>
  </w:font>
  <w:font w:name="Symbol">
    <w:charset w:val="01"/>
    <w:family w:val="roman"/>
    <w:pitch w:val="variable"/>
  </w:font>
  <w:font w:name="Century Gothic">
    <w:charset w:val="01"/>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single" w:sz="4" w:space="1" w:color="000000"/>
      </w:pBdr>
      <w:spacing w:before="120" w:after="0"/>
      <w:ind w:right="360" w:hanging="0"/>
      <w:rPr>
        <w:rFonts w:ascii="Arial" w:hAnsi="Arial" w:cs="Arial"/>
        <w:sz w:val="18"/>
        <w:szCs w:val="18"/>
      </w:rPr>
    </w:pPr>
    <w:r>
      <w:rPr/>
      <mc:AlternateContent>
        <mc:Choice Requires="wps">
          <w:drawing>
            <wp:anchor behindDoc="1" distT="0" distB="0" distL="0" distR="0" simplePos="0" locked="0" layoutInCell="0" allowOverlap="1" relativeHeight="138">
              <wp:simplePos x="0" y="0"/>
              <wp:positionH relativeFrom="margin">
                <wp:align>right</wp:align>
              </wp:positionH>
              <wp:positionV relativeFrom="paragraph">
                <wp:posOffset>635</wp:posOffset>
              </wp:positionV>
              <wp:extent cx="153670" cy="250825"/>
              <wp:effectExtent l="0" t="0" r="0" b="0"/>
              <wp:wrapSquare wrapText="bothSides"/>
              <wp:docPr id="2" name="Frame1"/>
              <a:graphic xmlns:a="http://schemas.openxmlformats.org/drawingml/2006/main">
                <a:graphicData uri="http://schemas.microsoft.com/office/word/2010/wordprocessingShape">
                  <wps:wsp>
                    <wps:cNvSpPr/>
                    <wps:spPr>
                      <a:xfrm>
                        <a:off x="0" y="0"/>
                        <a:ext cx="153000" cy="250200"/>
                      </a:xfrm>
                      <a:prstGeom prst="rect">
                        <a:avLst/>
                      </a:prstGeom>
                      <a:noFill/>
                      <a:ln w="0">
                        <a:noFill/>
                      </a:ln>
                    </wps:spPr>
                    <wps:style>
                      <a:lnRef idx="0"/>
                      <a:fillRef idx="0"/>
                      <a:effectRef idx="0"/>
                      <a:fontRef idx="minor"/>
                    </wps:style>
                    <wps:txbx>
                      <w:txbxContent>
                        <w:p>
                          <w:pPr>
                            <w:pStyle w:val="Footer"/>
                            <w:spacing w:before="120" w:after="0"/>
                            <w:rPr>
                              <w:rStyle w:val="Pagenumber"/>
                            </w:rPr>
                          </w:pPr>
                          <w:r>
                            <w:rPr>
                              <w:rStyle w:val="Pagenumber"/>
                            </w:rPr>
                            <w:fldChar w:fldCharType="begin"/>
                            <w:fldChar w:fldCharType="begin"/>
                          </w:r>
                          <w:r>
                            <w:rPr>
                              <w:rStyle w:val="Pagenumber"/>
                            </w:rPr>
                            <w:instrText> FILENAME </w:instrText>
                          </w:r>
                          <w:r>
                            <w:rPr>
                              <w:rStyle w:val="Pagenumber"/>
                            </w:rPr>
                            <w:fldChar w:fldCharType="separate"/>
                          </w:r>
                          <w:r>
                            <w:rPr>
                              <w:rStyle w:val="Pagenumber"/>
                            </w:rPr>
                            <w:t>TenderDoc_2023_SmartCard.docx</w:t>
                          </w:r>
                          <w:r>
                            <w:rPr>
                              <w:rStyle w:val="Pagenumber"/>
                            </w:rPr>
                            <w:fldChar w:fldCharType="end"/>
                          </w:r>
                          <w:r>
                            <w:rPr>
                              <w:rStyle w:val="Pagenumber"/>
                            </w:rPr>
                            <w:instrText> PAGE </w:instrText>
                          </w:r>
                          <w:r>
                            <w:rPr>
                              <w:rStyle w:val="Pagenumber"/>
                            </w:rPr>
                            <w:fldChar w:fldCharType="separate"/>
                          </w:r>
                          <w:r>
                            <w:rPr>
                              <w:rStyle w:val="Pagenumber"/>
                            </w:rPr>
                            <w:t>29</w:t>
                          </w:r>
                          <w:r>
                            <w:rPr>
                              <w:rStyle w:val="Pagenumber"/>
                            </w:rPr>
                            <w:fldChar w:fldCharType="end"/>
                          </w:r>
                        </w:p>
                      </w:txbxContent>
                    </wps:txbx>
                    <wps:bodyPr lIns="0" rIns="0" tIns="0" bIns="0" anchor="t">
                      <a:spAutoFit/>
                    </wps:bodyPr>
                  </wps:wsp>
                </a:graphicData>
              </a:graphic>
            </wp:anchor>
          </w:drawing>
        </mc:Choice>
        <mc:Fallback>
          <w:pict>
            <v:rect id="shape_0" ID="Frame1" path="m0,0l-2147483645,0l-2147483645,-2147483646l0,-2147483646xe" fillcolor="white" stroked="f" o:allowincell="f" style="position:absolute;margin-left:439.2pt;margin-top:0.05pt;width:12pt;height:19.65pt;mso-wrap-style:square;v-text-anchor:top;mso-position-horizontal:right;mso-position-horizontal-relative:margin">
              <v:fill o:detectmouseclick="t" type="solid" color2="black" opacity="0"/>
              <v:stroke color="#3465a4" joinstyle="round" endcap="flat"/>
              <v:textbox>
                <w:txbxContent>
                  <w:p>
                    <w:pPr>
                      <w:pStyle w:val="Footer"/>
                      <w:spacing w:before="120" w:after="0"/>
                      <w:rPr>
                        <w:rStyle w:val="Pagenumber"/>
                      </w:rPr>
                    </w:pPr>
                    <w:r>
                      <w:rPr>
                        <w:rStyle w:val="Pagenumber"/>
                      </w:rPr>
                      <w:fldChar w:fldCharType="begin"/>
                    </w:r>
                    <w:r>
                      <w:rPr>
                        <w:rStyle w:val="Pagenumber"/>
                      </w:rPr>
                      <w:instrText> PAGE </w:instrText>
                    </w:r>
                    <w:r>
                      <w:rPr>
                        <w:rStyle w:val="Pagenumber"/>
                      </w:rPr>
                      <w:fldChar w:fldCharType="separate"/>
                    </w:r>
                    <w:r>
                      <w:rPr>
                        <w:rStyle w:val="Pagenumber"/>
                      </w:rPr>
                      <w:t>29</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9504"/>
        <w:tab w:val="right" w:pos="8640" w:leader="underscore"/>
      </w:tabs>
      <w:spacing w:before="120" w:after="0"/>
      <w:ind w:right="360" w:hanging="0"/>
      <w:rPr>
        <w:rFonts w:ascii="Arial" w:hAnsi="Arial" w:cs="Arial"/>
        <w:sz w:val="18"/>
        <w:szCs w:val="18"/>
      </w:rPr>
    </w:pPr>
    <w:r>
      <w:rPr/>
      <mc:AlternateContent>
        <mc:Choice Requires="wps">
          <w:drawing>
            <wp:anchor behindDoc="1" distT="0" distB="0" distL="0" distR="0" simplePos="0" locked="0" layoutInCell="0" allowOverlap="1" relativeHeight="4">
              <wp:simplePos x="0" y="0"/>
              <wp:positionH relativeFrom="column">
                <wp:posOffset>-62230</wp:posOffset>
              </wp:positionH>
              <wp:positionV relativeFrom="paragraph">
                <wp:posOffset>31750</wp:posOffset>
              </wp:positionV>
              <wp:extent cx="4091940" cy="635"/>
              <wp:effectExtent l="0" t="0" r="0" b="0"/>
              <wp:wrapNone/>
              <wp:docPr id="4" name="Line 2"/>
              <a:graphic xmlns:a="http://schemas.openxmlformats.org/drawingml/2006/main">
                <a:graphicData uri="http://schemas.microsoft.com/office/word/2010/wordprocessingShape">
                  <wps:wsp>
                    <wps:cNvSpPr/>
                    <wps:spPr>
                      <a:xfrm flipV="1">
                        <a:off x="0" y="0"/>
                        <a:ext cx="4091400" cy="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4.9pt,2.5pt" to="317.2pt,2.5pt" ID="Line 2" stroked="t" o:allowincell="f" style="position:absolute;flip:y">
              <v:stroke color="black" joinstyle="round" endcap="flat"/>
              <v:fill o:detectmouseclick="t" on="false"/>
              <w10:wrap type="none"/>
            </v:line>
          </w:pict>
        </mc:Fallback>
      </mc:AlternateContent>
      <mc:AlternateContent>
        <mc:Choice Requires="wps">
          <w:drawing>
            <wp:anchor behindDoc="1" distT="0" distB="0" distL="0" distR="0" simplePos="0" locked="0" layoutInCell="0" allowOverlap="1" relativeHeight="152">
              <wp:simplePos x="0" y="0"/>
              <wp:positionH relativeFrom="margin">
                <wp:align>right</wp:align>
              </wp:positionH>
              <wp:positionV relativeFrom="paragraph">
                <wp:posOffset>635</wp:posOffset>
              </wp:positionV>
              <wp:extent cx="153670" cy="250825"/>
              <wp:effectExtent l="0" t="0" r="0" b="0"/>
              <wp:wrapSquare wrapText="bothSides"/>
              <wp:docPr id="5" name="Frame2"/>
              <a:graphic xmlns:a="http://schemas.openxmlformats.org/drawingml/2006/main">
                <a:graphicData uri="http://schemas.microsoft.com/office/word/2010/wordprocessingShape">
                  <wps:wsp>
                    <wps:cNvSpPr/>
                    <wps:spPr>
                      <a:xfrm>
                        <a:off x="0" y="0"/>
                        <a:ext cx="153000" cy="250200"/>
                      </a:xfrm>
                      <a:prstGeom prst="rect">
                        <a:avLst/>
                      </a:prstGeom>
                      <a:noFill/>
                      <a:ln w="0">
                        <a:noFill/>
                      </a:ln>
                    </wps:spPr>
                    <wps:style>
                      <a:lnRef idx="0"/>
                      <a:fillRef idx="0"/>
                      <a:effectRef idx="0"/>
                      <a:fontRef idx="minor"/>
                    </wps:style>
                    <wps:txbx>
                      <w:txbxContent>
                        <w:p>
                          <w:pPr>
                            <w:pStyle w:val="Footer"/>
                            <w:spacing w:before="120" w:after="0"/>
                            <w:rPr>
                              <w:rStyle w:val="Pagenumber"/>
                            </w:rPr>
                          </w:pPr>
                          <w:r>
                            <w:rPr>
                              <w:rStyle w:val="Pagenumber"/>
                            </w:rPr>
                            <w:fldChar w:fldCharType="begin"/>
                            <w:fldChar w:fldCharType="begin"/>
                          </w:r>
                          <w:r>
                            <w:rPr>
                              <w:rStyle w:val="Pagenumber"/>
                            </w:rPr>
                            <w:instrText> FILENAME </w:instrText>
                          </w:r>
                          <w:r>
                            <w:rPr>
                              <w:rStyle w:val="Pagenumber"/>
                            </w:rPr>
                            <w:fldChar w:fldCharType="separate"/>
                          </w:r>
                          <w:r>
                            <w:rPr>
                              <w:rStyle w:val="Pagenumber"/>
                            </w:rPr>
                            <w:t>TenderDoc_2023_SmartCard.docx</w:t>
                          </w:r>
                          <w:r>
                            <w:rPr>
                              <w:rStyle w:val="Pagenumber"/>
                            </w:rPr>
                            <w:fldChar w:fldCharType="end"/>
                          </w:r>
                          <w:r>
                            <w:rPr>
                              <w:rStyle w:val="Pagenumber"/>
                            </w:rPr>
                            <w:instrText> PAGE </w:instrText>
                          </w:r>
                          <w:r>
                            <w:rPr>
                              <w:rStyle w:val="Pagenumber"/>
                            </w:rPr>
                            <w:fldChar w:fldCharType="separate"/>
                          </w:r>
                          <w:r>
                            <w:rPr>
                              <w:rStyle w:val="Pagenumber"/>
                            </w:rPr>
                            <w:t>32</w:t>
                          </w:r>
                          <w:r>
                            <w:rPr>
                              <w:rStyle w:val="Pagenumber"/>
                            </w:rPr>
                            <w:fldChar w:fldCharType="end"/>
                          </w:r>
                        </w:p>
                      </w:txbxContent>
                    </wps:txbx>
                    <wps:bodyPr lIns="0" rIns="0" tIns="0" bIns="0" anchor="t">
                      <a:spAutoFit/>
                    </wps:bodyPr>
                  </wps:wsp>
                </a:graphicData>
              </a:graphic>
            </wp:anchor>
          </w:drawing>
        </mc:Choice>
        <mc:Fallback>
          <w:pict>
            <v:rect id="shape_0" ID="Frame2" path="m0,0l-2147483645,0l-2147483645,-2147483646l0,-2147483646xe" fillcolor="white" stroked="f" o:allowincell="f" style="position:absolute;margin-left:439.2pt;margin-top:0.05pt;width:12pt;height:19.65pt;mso-wrap-style:square;v-text-anchor:top;mso-position-horizontal:right;mso-position-horizontal-relative:margin">
              <v:fill o:detectmouseclick="t" type="solid" color2="black" opacity="0"/>
              <v:stroke color="#3465a4" joinstyle="round" endcap="flat"/>
              <v:textbox>
                <w:txbxContent>
                  <w:p>
                    <w:pPr>
                      <w:pStyle w:val="Footer"/>
                      <w:spacing w:before="120" w:after="0"/>
                      <w:rPr>
                        <w:rStyle w:val="Pagenumber"/>
                      </w:rPr>
                    </w:pPr>
                    <w:r>
                      <w:rPr>
                        <w:rStyle w:val="Pagenumber"/>
                      </w:rPr>
                      <w:fldChar w:fldCharType="begin"/>
                    </w:r>
                    <w:r>
                      <w:rPr>
                        <w:rStyle w:val="Pagenumber"/>
                      </w:rPr>
                      <w:instrText> PAGE </w:instrText>
                    </w:r>
                    <w:r>
                      <w:rPr>
                        <w:rStyle w:val="Pagenumber"/>
                      </w:rPr>
                      <w:fldChar w:fldCharType="separate"/>
                    </w:r>
                    <w:r>
                      <w:rPr>
                        <w:rStyle w:val="Pagenumber"/>
                      </w:rPr>
                      <w:t>32</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9504"/>
        <w:tab w:val="right" w:pos="8640" w:leader="underscore"/>
      </w:tabs>
      <w:spacing w:before="120" w:after="0"/>
      <w:ind w:right="360" w:hanging="0"/>
      <w:rPr>
        <w:rFonts w:ascii="Arial" w:hAnsi="Arial" w:cs="Arial"/>
        <w:sz w:val="18"/>
        <w:szCs w:val="18"/>
      </w:rPr>
    </w:pPr>
    <w:r>
      <w:rPr/>
      <mc:AlternateContent>
        <mc:Choice Requires="wps">
          <w:drawing>
            <wp:anchor behindDoc="1" distT="0" distB="0" distL="0" distR="0" simplePos="0" locked="0" layoutInCell="0" allowOverlap="1" relativeHeight="27">
              <wp:simplePos x="0" y="0"/>
              <wp:positionH relativeFrom="column">
                <wp:posOffset>-62230</wp:posOffset>
              </wp:positionH>
              <wp:positionV relativeFrom="paragraph">
                <wp:posOffset>31750</wp:posOffset>
              </wp:positionV>
              <wp:extent cx="4091940" cy="635"/>
              <wp:effectExtent l="0" t="0" r="0" b="0"/>
              <wp:wrapNone/>
              <wp:docPr id="7" name="Line 2_0"/>
              <a:graphic xmlns:a="http://schemas.openxmlformats.org/drawingml/2006/main">
                <a:graphicData uri="http://schemas.microsoft.com/office/word/2010/wordprocessingShape">
                  <wps:wsp>
                    <wps:cNvSpPr/>
                    <wps:spPr>
                      <a:xfrm flipV="1">
                        <a:off x="0" y="0"/>
                        <a:ext cx="4091400" cy="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4.9pt,2.5pt" to="317.2pt,2.5pt" ID="Line 2_0" stroked="t" o:allowincell="f" style="position:absolute;flip:y">
              <v:stroke color="black" joinstyle="round" endcap="flat"/>
              <v:fill o:detectmouseclick="t" on="false"/>
              <w10:wrap type="none"/>
            </v:line>
          </w:pict>
        </mc:Fallback>
      </mc:AlternateContent>
      <mc:AlternateContent>
        <mc:Choice Requires="wps">
          <w:drawing>
            <wp:anchor behindDoc="1" distT="0" distB="0" distL="0" distR="0" simplePos="0" locked="0" layoutInCell="0" allowOverlap="1" relativeHeight="78">
              <wp:simplePos x="0" y="0"/>
              <wp:positionH relativeFrom="margin">
                <wp:align>right</wp:align>
              </wp:positionH>
              <wp:positionV relativeFrom="paragraph">
                <wp:posOffset>635</wp:posOffset>
              </wp:positionV>
              <wp:extent cx="153670" cy="250825"/>
              <wp:effectExtent l="0" t="0" r="0" b="0"/>
              <wp:wrapSquare wrapText="bothSides"/>
              <wp:docPr id="8" name="Image1"/>
              <a:graphic xmlns:a="http://schemas.openxmlformats.org/drawingml/2006/main">
                <a:graphicData uri="http://schemas.microsoft.com/office/word/2010/wordprocessingShape">
                  <wps:wsp>
                    <wps:cNvSpPr/>
                    <wps:spPr>
                      <a:xfrm>
                        <a:off x="0" y="0"/>
                        <a:ext cx="153000" cy="250200"/>
                      </a:xfrm>
                      <a:prstGeom prst="rect">
                        <a:avLst/>
                      </a:prstGeom>
                      <a:noFill/>
                      <a:ln w="0">
                        <a:noFill/>
                      </a:ln>
                    </wps:spPr>
                    <wps:style>
                      <a:lnRef idx="0"/>
                      <a:fillRef idx="0"/>
                      <a:effectRef idx="0"/>
                      <a:fontRef idx="minor"/>
                    </wps:style>
                    <wps:txbx>
                      <w:txbxContent>
                        <w:p>
                          <w:pPr>
                            <w:pStyle w:val="Footer"/>
                            <w:spacing w:before="120" w:after="0"/>
                            <w:rPr>
                              <w:rStyle w:val="Pagenumber"/>
                            </w:rPr>
                          </w:pPr>
                          <w:r>
                            <w:rPr>
                              <w:rStyle w:val="Pagenumber"/>
                            </w:rPr>
                            <w:fldChar w:fldCharType="begin"/>
                            <w:fldChar w:fldCharType="begin"/>
                          </w:r>
                          <w:r>
                            <w:rPr>
                              <w:rStyle w:val="Pagenumber"/>
                            </w:rPr>
                            <w:instrText> FILENAME </w:instrText>
                          </w:r>
                          <w:r>
                            <w:rPr>
                              <w:rStyle w:val="Pagenumber"/>
                            </w:rPr>
                            <w:fldChar w:fldCharType="separate"/>
                          </w:r>
                          <w:r>
                            <w:rPr>
                              <w:rStyle w:val="Pagenumber"/>
                            </w:rPr>
                            <w:t>TenderDoc_2023_SmartCard.docx</w:t>
                          </w:r>
                          <w:r>
                            <w:rPr>
                              <w:rStyle w:val="Pagenumber"/>
                            </w:rPr>
                            <w:fldChar w:fldCharType="end"/>
                          </w:r>
                          <w:r>
                            <w:rPr>
                              <w:rStyle w:val="Pagenumber"/>
                            </w:rPr>
                            <w:instrText> PAGE </w:instrText>
                          </w:r>
                          <w:r>
                            <w:rPr>
                              <w:rStyle w:val="Pagenumber"/>
                            </w:rPr>
                            <w:fldChar w:fldCharType="separate"/>
                          </w:r>
                          <w:r>
                            <w:rPr>
                              <w:rStyle w:val="Pagenumber"/>
                            </w:rPr>
                            <w:t>55</w:t>
                          </w:r>
                          <w:r>
                            <w:rPr>
                              <w:rStyle w:val="Pagenumber"/>
                            </w:rPr>
                            <w:fldChar w:fldCharType="end"/>
                          </w:r>
                        </w:p>
                      </w:txbxContent>
                    </wps:txbx>
                    <wps:bodyPr lIns="0" rIns="0" tIns="0" bIns="0" anchor="t">
                      <a:spAutoFit/>
                    </wps:bodyPr>
                  </wps:wsp>
                </a:graphicData>
              </a:graphic>
            </wp:anchor>
          </w:drawing>
        </mc:Choice>
        <mc:Fallback>
          <w:pict>
            <v:rect id="shape_0" ID="Image1" path="m0,0l-2147483645,0l-2147483645,-2147483646l0,-2147483646xe" fillcolor="white" stroked="f" o:allowincell="f" style="position:absolute;margin-left:439.2pt;margin-top:0.05pt;width:12pt;height:19.65pt;mso-wrap-style:square;v-text-anchor:top;mso-position-horizontal:right;mso-position-horizontal-relative:margin">
              <v:fill o:detectmouseclick="t" type="solid" color2="black" opacity="0"/>
              <v:stroke color="#3465a4" joinstyle="round" endcap="flat"/>
              <v:textbox>
                <w:txbxContent>
                  <w:p>
                    <w:pPr>
                      <w:pStyle w:val="Footer"/>
                      <w:spacing w:before="120" w:after="0"/>
                      <w:rPr>
                        <w:rStyle w:val="Pagenumber"/>
                      </w:rPr>
                    </w:pPr>
                    <w:r>
                      <w:rPr>
                        <w:rStyle w:val="Pagenumber"/>
                      </w:rPr>
                      <w:fldChar w:fldCharType="begin"/>
                    </w:r>
                    <w:r>
                      <w:rPr>
                        <w:rStyle w:val="Pagenumber"/>
                      </w:rPr>
                      <w:instrText> PAGE </w:instrText>
                    </w:r>
                    <w:r>
                      <w:rPr>
                        <w:rStyle w:val="Pagenumber"/>
                      </w:rPr>
                      <w:fldChar w:fldCharType="separate"/>
                    </w:r>
                    <w:r>
                      <w:rPr>
                        <w:rStyle w:val="Pagenumber"/>
                      </w:rPr>
                      <w:t>55</w:t>
                    </w:r>
                    <w:r>
                      <w:rPr>
                        <w:rStyle w:val="Pagenumber"/>
                      </w:rPr>
                      <w:fldChar w:fldCharType="end"/>
                    </w:r>
                  </w:p>
                </w:txbxContent>
              </v:textbox>
              <w10:wrap type="squar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9504"/>
        <w:tab w:val="right" w:pos="8640" w:leader="underscore"/>
      </w:tabs>
      <w:spacing w:before="120" w:after="0"/>
      <w:ind w:right="360" w:hanging="0"/>
      <w:rPr>
        <w:rFonts w:ascii="Arial" w:hAnsi="Arial" w:cs="Arial"/>
        <w:sz w:val="18"/>
        <w:szCs w:val="18"/>
      </w:rPr>
    </w:pPr>
    <w:r>
      <w:rPr/>
      <mc:AlternateContent>
        <mc:Choice Requires="wps">
          <w:drawing>
            <wp:anchor behindDoc="1" distT="0" distB="0" distL="0" distR="0" simplePos="0" locked="0" layoutInCell="0" allowOverlap="1" relativeHeight="31">
              <wp:simplePos x="0" y="0"/>
              <wp:positionH relativeFrom="column">
                <wp:posOffset>-62230</wp:posOffset>
              </wp:positionH>
              <wp:positionV relativeFrom="paragraph">
                <wp:posOffset>31750</wp:posOffset>
              </wp:positionV>
              <wp:extent cx="4091940" cy="635"/>
              <wp:effectExtent l="0" t="0" r="0" b="0"/>
              <wp:wrapNone/>
              <wp:docPr id="10" name="Line 2_1"/>
              <a:graphic xmlns:a="http://schemas.openxmlformats.org/drawingml/2006/main">
                <a:graphicData uri="http://schemas.microsoft.com/office/word/2010/wordprocessingShape">
                  <wps:wsp>
                    <wps:cNvSpPr/>
                    <wps:spPr>
                      <a:xfrm flipV="1">
                        <a:off x="0" y="0"/>
                        <a:ext cx="4091400" cy="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4.9pt,2.5pt" to="317.2pt,2.5pt" ID="Line 2_1" stroked="t" o:allowincell="f" style="position:absolute;flip:y">
              <v:stroke color="black" joinstyle="round" endcap="flat"/>
              <v:fill o:detectmouseclick="t" on="false"/>
              <w10:wrap type="none"/>
            </v:line>
          </w:pict>
        </mc:Fallback>
      </mc:AlternateContent>
      <mc:AlternateContent>
        <mc:Choice Requires="wps">
          <w:drawing>
            <wp:anchor behindDoc="1" distT="0" distB="0" distL="0" distR="0" simplePos="0" locked="0" layoutInCell="0" allowOverlap="1" relativeHeight="160">
              <wp:simplePos x="0" y="0"/>
              <wp:positionH relativeFrom="margin">
                <wp:align>right</wp:align>
              </wp:positionH>
              <wp:positionV relativeFrom="paragraph">
                <wp:posOffset>635</wp:posOffset>
              </wp:positionV>
              <wp:extent cx="153670" cy="250825"/>
              <wp:effectExtent l="0" t="0" r="0" b="0"/>
              <wp:wrapSquare wrapText="bothSides"/>
              <wp:docPr id="11" name="Image2"/>
              <a:graphic xmlns:a="http://schemas.openxmlformats.org/drawingml/2006/main">
                <a:graphicData uri="http://schemas.microsoft.com/office/word/2010/wordprocessingShape">
                  <wps:wsp>
                    <wps:cNvSpPr/>
                    <wps:spPr>
                      <a:xfrm>
                        <a:off x="0" y="0"/>
                        <a:ext cx="153000" cy="250200"/>
                      </a:xfrm>
                      <a:prstGeom prst="rect">
                        <a:avLst/>
                      </a:prstGeom>
                      <a:noFill/>
                      <a:ln w="0">
                        <a:noFill/>
                      </a:ln>
                    </wps:spPr>
                    <wps:style>
                      <a:lnRef idx="0"/>
                      <a:fillRef idx="0"/>
                      <a:effectRef idx="0"/>
                      <a:fontRef idx="minor"/>
                    </wps:style>
                    <wps:txbx>
                      <w:txbxContent>
                        <w:p>
                          <w:pPr>
                            <w:pStyle w:val="Footer"/>
                            <w:spacing w:before="120" w:after="0"/>
                            <w:rPr>
                              <w:rStyle w:val="Pagenumber"/>
                            </w:rPr>
                          </w:pPr>
                          <w:r>
                            <w:rPr>
                              <w:rStyle w:val="Pagenumber"/>
                            </w:rPr>
                            <w:fldChar w:fldCharType="begin"/>
                            <w:fldChar w:fldCharType="begin"/>
                          </w:r>
                          <w:r>
                            <w:rPr>
                              <w:rStyle w:val="Pagenumber"/>
                            </w:rPr>
                            <w:instrText> FILENAME </w:instrText>
                          </w:r>
                          <w:r>
                            <w:rPr>
                              <w:rStyle w:val="Pagenumber"/>
                            </w:rPr>
                            <w:fldChar w:fldCharType="separate"/>
                          </w:r>
                          <w:r>
                            <w:rPr>
                              <w:rStyle w:val="Pagenumber"/>
                            </w:rPr>
                            <w:t>TenderDoc_2023_SmartCard.docx</w:t>
                          </w:r>
                          <w:r>
                            <w:rPr>
                              <w:rStyle w:val="Pagenumber"/>
                            </w:rPr>
                            <w:fldChar w:fldCharType="end"/>
                          </w:r>
                          <w:r>
                            <w:rPr>
                              <w:rStyle w:val="Pagenumber"/>
                            </w:rPr>
                            <w:instrText> PAGE </w:instrText>
                          </w:r>
                          <w:r>
                            <w:rPr>
                              <w:rStyle w:val="Pagenumber"/>
                            </w:rPr>
                            <w:fldChar w:fldCharType="separate"/>
                          </w:r>
                          <w:r>
                            <w:rPr>
                              <w:rStyle w:val="Pagenumber"/>
                            </w:rPr>
                            <w:t>59</w:t>
                          </w:r>
                          <w:r>
                            <w:rPr>
                              <w:rStyle w:val="Pagenumber"/>
                            </w:rPr>
                            <w:fldChar w:fldCharType="end"/>
                          </w:r>
                        </w:p>
                      </w:txbxContent>
                    </wps:txbx>
                    <wps:bodyPr lIns="0" rIns="0" tIns="0" bIns="0" anchor="t">
                      <a:spAutoFit/>
                    </wps:bodyPr>
                  </wps:wsp>
                </a:graphicData>
              </a:graphic>
            </wp:anchor>
          </w:drawing>
        </mc:Choice>
        <mc:Fallback>
          <w:pict>
            <v:rect id="shape_0" ID="Image2" path="m0,0l-2147483645,0l-2147483645,-2147483646l0,-2147483646xe" fillcolor="white" stroked="f" o:allowincell="f" style="position:absolute;margin-left:439.2pt;margin-top:0.05pt;width:12pt;height:19.65pt;mso-wrap-style:square;v-text-anchor:top;mso-position-horizontal:right;mso-position-horizontal-relative:margin">
              <v:fill o:detectmouseclick="t" type="solid" color2="black" opacity="0"/>
              <v:stroke color="#3465a4" joinstyle="round" endcap="flat"/>
              <v:textbox>
                <w:txbxContent>
                  <w:p>
                    <w:pPr>
                      <w:pStyle w:val="Footer"/>
                      <w:spacing w:before="120" w:after="0"/>
                      <w:rPr>
                        <w:rStyle w:val="Pagenumber"/>
                      </w:rPr>
                    </w:pPr>
                    <w:r>
                      <w:rPr>
                        <w:rStyle w:val="Pagenumber"/>
                      </w:rPr>
                      <w:fldChar w:fldCharType="begin"/>
                    </w:r>
                    <w:r>
                      <w:rPr>
                        <w:rStyle w:val="Pagenumber"/>
                      </w:rPr>
                      <w:instrText> PAGE </w:instrText>
                    </w:r>
                    <w:r>
                      <w:rPr>
                        <w:rStyle w:val="Pagenumber"/>
                      </w:rPr>
                      <w:fldChar w:fldCharType="separate"/>
                    </w:r>
                    <w:r>
                      <w:rPr>
                        <w:rStyle w:val="Pagenumber"/>
                      </w:rPr>
                      <w:t>59</w:t>
                    </w:r>
                    <w:r>
                      <w:rPr>
                        <w:rStyle w:val="Pagenumber"/>
                      </w:rPr>
                      <w:fldChar w:fldCharType="end"/>
                    </w:r>
                  </w:p>
                </w:txbxContent>
              </v:textbox>
              <w10:wrap type="squar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9504"/>
        <w:tab w:val="right" w:pos="8640" w:leader="underscore"/>
      </w:tabs>
      <w:spacing w:before="120" w:after="0"/>
      <w:ind w:right="360" w:hanging="0"/>
      <w:rPr>
        <w:rFonts w:ascii="Arial" w:hAnsi="Arial" w:cs="Arial"/>
        <w:sz w:val="18"/>
        <w:szCs w:val="18"/>
      </w:rPr>
    </w:pPr>
    <w:r>
      <w:rPr/>
      <mc:AlternateContent>
        <mc:Choice Requires="wps">
          <w:drawing>
            <wp:anchor behindDoc="1" distT="0" distB="0" distL="0" distR="0" simplePos="0" locked="0" layoutInCell="0" allowOverlap="1" relativeHeight="35">
              <wp:simplePos x="0" y="0"/>
              <wp:positionH relativeFrom="column">
                <wp:posOffset>-62230</wp:posOffset>
              </wp:positionH>
              <wp:positionV relativeFrom="paragraph">
                <wp:posOffset>31750</wp:posOffset>
              </wp:positionV>
              <wp:extent cx="4091940" cy="635"/>
              <wp:effectExtent l="0" t="0" r="0" b="0"/>
              <wp:wrapNone/>
              <wp:docPr id="13" name="Line 2_2"/>
              <a:graphic xmlns:a="http://schemas.openxmlformats.org/drawingml/2006/main">
                <a:graphicData uri="http://schemas.microsoft.com/office/word/2010/wordprocessingShape">
                  <wps:wsp>
                    <wps:cNvSpPr/>
                    <wps:spPr>
                      <a:xfrm flipV="1">
                        <a:off x="0" y="0"/>
                        <a:ext cx="4091400" cy="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4.9pt,2.5pt" to="317.2pt,2.5pt" ID="Line 2_2" stroked="t" o:allowincell="f" style="position:absolute;flip:y">
              <v:stroke color="black" joinstyle="round" endcap="flat"/>
              <v:fill o:detectmouseclick="t" on="false"/>
              <w10:wrap type="none"/>
            </v:line>
          </w:pict>
        </mc:Fallback>
      </mc:AlternateContent>
      <mc:AlternateContent>
        <mc:Choice Requires="wps">
          <w:drawing>
            <wp:anchor behindDoc="1" distT="0" distB="0" distL="0" distR="0" simplePos="0" locked="0" layoutInCell="0" allowOverlap="1" relativeHeight="144">
              <wp:simplePos x="0" y="0"/>
              <wp:positionH relativeFrom="margin">
                <wp:align>right</wp:align>
              </wp:positionH>
              <wp:positionV relativeFrom="paragraph">
                <wp:posOffset>635</wp:posOffset>
              </wp:positionV>
              <wp:extent cx="153670" cy="250825"/>
              <wp:effectExtent l="0" t="0" r="0" b="0"/>
              <wp:wrapSquare wrapText="bothSides"/>
              <wp:docPr id="14" name="Image3"/>
              <a:graphic xmlns:a="http://schemas.openxmlformats.org/drawingml/2006/main">
                <a:graphicData uri="http://schemas.microsoft.com/office/word/2010/wordprocessingShape">
                  <wps:wsp>
                    <wps:cNvSpPr/>
                    <wps:spPr>
                      <a:xfrm>
                        <a:off x="0" y="0"/>
                        <a:ext cx="153000" cy="250200"/>
                      </a:xfrm>
                      <a:prstGeom prst="rect">
                        <a:avLst/>
                      </a:prstGeom>
                      <a:noFill/>
                      <a:ln w="0">
                        <a:noFill/>
                      </a:ln>
                    </wps:spPr>
                    <wps:style>
                      <a:lnRef idx="0"/>
                      <a:fillRef idx="0"/>
                      <a:effectRef idx="0"/>
                      <a:fontRef idx="minor"/>
                    </wps:style>
                    <wps:txbx>
                      <w:txbxContent>
                        <w:p>
                          <w:pPr>
                            <w:pStyle w:val="Footer"/>
                            <w:spacing w:before="120" w:after="0"/>
                            <w:rPr>
                              <w:rStyle w:val="Pagenumber"/>
                            </w:rPr>
                          </w:pPr>
                          <w:r>
                            <w:rPr>
                              <w:rStyle w:val="Pagenumber"/>
                            </w:rPr>
                            <w:fldChar w:fldCharType="begin"/>
                            <w:fldChar w:fldCharType="begin"/>
                          </w:r>
                          <w:r>
                            <w:rPr>
                              <w:rStyle w:val="Pagenumber"/>
                            </w:rPr>
                            <w:instrText> FILENAME </w:instrText>
                          </w:r>
                          <w:r>
                            <w:rPr>
                              <w:rStyle w:val="Pagenumber"/>
                            </w:rPr>
                            <w:fldChar w:fldCharType="separate"/>
                          </w:r>
                          <w:r>
                            <w:rPr>
                              <w:rStyle w:val="Pagenumber"/>
                            </w:rPr>
                            <w:t>TenderDoc_2023_SmartCard.docx</w:t>
                          </w:r>
                          <w:r>
                            <w:rPr>
                              <w:rStyle w:val="Pagenumber"/>
                            </w:rPr>
                            <w:fldChar w:fldCharType="end"/>
                          </w:r>
                          <w:r>
                            <w:rPr>
                              <w:rStyle w:val="Pagenumber"/>
                            </w:rPr>
                            <w:instrText> PAGE </w:instrText>
                          </w:r>
                          <w:r>
                            <w:rPr>
                              <w:rStyle w:val="Pagenumber"/>
                            </w:rPr>
                            <w:fldChar w:fldCharType="separate"/>
                          </w:r>
                          <w:r>
                            <w:rPr>
                              <w:rStyle w:val="Pagenumber"/>
                            </w:rPr>
                            <w:t>62</w:t>
                          </w:r>
                          <w:r>
                            <w:rPr>
                              <w:rStyle w:val="Pagenumber"/>
                            </w:rPr>
                            <w:fldChar w:fldCharType="end"/>
                          </w:r>
                        </w:p>
                      </w:txbxContent>
                    </wps:txbx>
                    <wps:bodyPr lIns="0" rIns="0" tIns="0" bIns="0" anchor="t">
                      <a:spAutoFit/>
                    </wps:bodyPr>
                  </wps:wsp>
                </a:graphicData>
              </a:graphic>
            </wp:anchor>
          </w:drawing>
        </mc:Choice>
        <mc:Fallback>
          <w:pict>
            <v:rect id="shape_0" ID="Image3" path="m0,0l-2147483645,0l-2147483645,-2147483646l0,-2147483646xe" fillcolor="white" stroked="f" o:allowincell="f" style="position:absolute;margin-left:685.8pt;margin-top:0.05pt;width:12pt;height:19.65pt;mso-wrap-style:square;v-text-anchor:top;mso-position-horizontal:right;mso-position-horizontal-relative:margin">
              <v:fill o:detectmouseclick="t" type="solid" color2="black" opacity="0"/>
              <v:stroke color="#3465a4" joinstyle="round" endcap="flat"/>
              <v:textbox>
                <w:txbxContent>
                  <w:p>
                    <w:pPr>
                      <w:pStyle w:val="Footer"/>
                      <w:spacing w:before="120" w:after="0"/>
                      <w:rPr>
                        <w:rStyle w:val="Pagenumber"/>
                      </w:rPr>
                    </w:pPr>
                    <w:r>
                      <w:rPr>
                        <w:rStyle w:val="Pagenumber"/>
                      </w:rPr>
                      <w:fldChar w:fldCharType="begin"/>
                    </w:r>
                    <w:r>
                      <w:rPr>
                        <w:rStyle w:val="Pagenumber"/>
                      </w:rPr>
                      <w:instrText> PAGE </w:instrText>
                    </w:r>
                    <w:r>
                      <w:rPr>
                        <w:rStyle w:val="Pagenumber"/>
                      </w:rPr>
                      <w:fldChar w:fldCharType="separate"/>
                    </w:r>
                    <w:r>
                      <w:rPr>
                        <w:rStyle w:val="Pagenumber"/>
                      </w:rPr>
                      <w:t>62</w:t>
                    </w:r>
                    <w:r>
                      <w:rPr>
                        <w:rStyle w:val="Pagenumber"/>
                      </w:rPr>
                      <w:fldChar w:fldCharType="end"/>
                    </w:r>
                  </w:p>
                </w:txbxContent>
              </v:textbox>
              <w10:wrap type="squar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single" w:sz="4" w:space="1" w:color="000000"/>
      </w:pBdr>
      <w:tabs>
        <w:tab w:val="clear" w:pos="9504"/>
        <w:tab w:val="right" w:pos="8730" w:leader="underscore"/>
      </w:tabs>
      <w:spacing w:before="120" w:after="0"/>
      <w:ind w:right="360" w:hanging="0"/>
      <w:rPr/>
    </w:pPr>
    <w:r>
      <w:rPr/>
      <mc:AlternateContent>
        <mc:Choice Requires="wps">
          <w:drawing>
            <wp:anchor behindDoc="1" distT="0" distB="0" distL="0" distR="0" simplePos="0" locked="0" layoutInCell="0" allowOverlap="1" relativeHeight="196">
              <wp:simplePos x="0" y="0"/>
              <wp:positionH relativeFrom="margin">
                <wp:align>right</wp:align>
              </wp:positionH>
              <wp:positionV relativeFrom="paragraph">
                <wp:posOffset>635</wp:posOffset>
              </wp:positionV>
              <wp:extent cx="153670" cy="250825"/>
              <wp:effectExtent l="0" t="0" r="0" b="0"/>
              <wp:wrapSquare wrapText="bothSides"/>
              <wp:docPr id="16" name="Frame3"/>
              <a:graphic xmlns:a="http://schemas.openxmlformats.org/drawingml/2006/main">
                <a:graphicData uri="http://schemas.microsoft.com/office/word/2010/wordprocessingShape">
                  <wps:wsp>
                    <wps:cNvSpPr/>
                    <wps:spPr>
                      <a:xfrm>
                        <a:off x="0" y="0"/>
                        <a:ext cx="153000" cy="250200"/>
                      </a:xfrm>
                      <a:prstGeom prst="rect">
                        <a:avLst/>
                      </a:prstGeom>
                      <a:noFill/>
                      <a:ln w="0">
                        <a:noFill/>
                      </a:ln>
                    </wps:spPr>
                    <wps:style>
                      <a:lnRef idx="0"/>
                      <a:fillRef idx="0"/>
                      <a:effectRef idx="0"/>
                      <a:fontRef idx="minor"/>
                    </wps:style>
                    <wps:txbx>
                      <w:txbxContent>
                        <w:p>
                          <w:pPr>
                            <w:pStyle w:val="Footer"/>
                            <w:spacing w:before="120" w:after="0"/>
                            <w:rPr>
                              <w:rStyle w:val="Pagenumber"/>
                            </w:rPr>
                          </w:pPr>
                          <w:r>
                            <w:rPr>
                              <w:rStyle w:val="Pagenumber"/>
                            </w:rPr>
                            <w:fldChar w:fldCharType="begin"/>
                          </w:r>
                          <w:r>
                            <w:rPr>
                              <w:rStyle w:val="Pagenumber"/>
                            </w:rPr>
                            <w:instrText> PAGE </w:instrText>
                          </w:r>
                          <w:r>
                            <w:rPr>
                              <w:rStyle w:val="Pagenumber"/>
                            </w:rPr>
                            <w:fldChar w:fldCharType="separate"/>
                          </w:r>
                          <w:r>
                            <w:rPr>
                              <w:rStyle w:val="Pagenumber"/>
                            </w:rPr>
                            <w:t>81</w:t>
                          </w:r>
                          <w:r>
                            <w:rPr>
                              <w:rStyle w:val="Pagenumber"/>
                            </w:rPr>
                            <w:fldChar w:fldCharType="end"/>
                          </w:r>
                        </w:p>
                      </w:txbxContent>
                    </wps:txbx>
                    <wps:bodyPr lIns="0" rIns="0" tIns="0" bIns="0" anchor="t">
                      <a:spAutoFit/>
                    </wps:bodyPr>
                  </wps:wsp>
                </a:graphicData>
              </a:graphic>
            </wp:anchor>
          </w:drawing>
        </mc:Choice>
        <mc:Fallback>
          <w:pict>
            <v:rect id="shape_0" ID="Frame3" path="m0,0l-2147483645,0l-2147483645,-2147483646l0,-2147483646xe" fillcolor="white" stroked="f" o:allowincell="f" style="position:absolute;margin-left:439.2pt;margin-top:0.05pt;width:12pt;height:19.65pt;mso-wrap-style:square;v-text-anchor:top;mso-position-horizontal:right;mso-position-horizontal-relative:margin">
              <v:fill o:detectmouseclick="t" type="solid" color2="black" opacity="0"/>
              <v:stroke color="#3465a4" joinstyle="round" endcap="flat"/>
              <v:textbox>
                <w:txbxContent>
                  <w:p>
                    <w:pPr>
                      <w:pStyle w:val="Footer"/>
                      <w:spacing w:before="120" w:after="0"/>
                      <w:rPr>
                        <w:rStyle w:val="Pagenumber"/>
                      </w:rPr>
                    </w:pPr>
                    <w:r>
                      <w:rPr>
                        <w:rStyle w:val="Pagenumber"/>
                      </w:rPr>
                      <w:fldChar w:fldCharType="begin"/>
                    </w:r>
                    <w:r>
                      <w:rPr>
                        <w:rStyle w:val="Pagenumber"/>
                      </w:rPr>
                      <w:instrText> PAGE </w:instrText>
                    </w:r>
                    <w:r>
                      <w:rPr>
                        <w:rStyle w:val="Pagenumber"/>
                      </w:rPr>
                      <w:fldChar w:fldCharType="separate"/>
                    </w:r>
                    <w:r>
                      <w:rPr>
                        <w:rStyle w:val="Pagenumber"/>
                      </w:rPr>
                      <w:t>81</w:t>
                    </w:r>
                    <w:r>
                      <w:rPr>
                        <w:rStyle w:val="Pagenumber"/>
                      </w:rPr>
                      <w:fldChar w:fldCharType="end"/>
                    </w:r>
                  </w:p>
                </w:txbxContent>
              </v:textbox>
              <w10:wrap type="squar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1728"/>
        </w:tabs>
        <w:ind w:left="1728" w:hanging="648"/>
      </w:pPr>
      <w:rPr>
        <w:sz w:val="22"/>
        <w:i w:val="false"/>
        <w:b w:val="false"/>
        <w:bCs w:val="false"/>
        <w:color w:val="auto"/>
      </w:rPr>
    </w:lvl>
    <w:lvl w:ilvl="1">
      <w:start w:val="2"/>
      <w:numFmt w:val="decimal"/>
      <w:lvlText w:val="2%1.%2"/>
      <w:lvlJc w:val="left"/>
      <w:pPr>
        <w:tabs>
          <w:tab w:val="num" w:pos="1728"/>
        </w:tabs>
        <w:ind w:left="1728" w:hanging="648"/>
      </w:pPr>
      <w:rPr>
        <w:sz w:val="22"/>
        <w:i w:val="false"/>
        <w:b w:val="false"/>
        <w:bCs w:val="false"/>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lowerLetter"/>
      <w:lvlText w:val="(%1)"/>
      <w:lvlJc w:val="left"/>
      <w:pPr>
        <w:tabs>
          <w:tab w:val="num" w:pos="720"/>
        </w:tabs>
        <w:ind w:left="936" w:hanging="360"/>
      </w:pPr>
      <w:rPr>
        <w:sz w:val="21"/>
        <w:i w:val="false"/>
        <w:rFonts w:ascii="Arial" w:hAnsi="Arial"/>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lowerLetter"/>
      <w:lvlText w:val="(%1)"/>
      <w:lvlJc w:val="left"/>
      <w:pPr>
        <w:tabs>
          <w:tab w:val="num" w:pos="720"/>
        </w:tabs>
        <w:ind w:left="936" w:hanging="360"/>
      </w:pPr>
      <w:rPr>
        <w:sz w:val="22"/>
        <w:i w:val="false"/>
        <w:rFonts w:ascii="Arial" w:hAnsi="Arial"/>
        <w:color w:val="008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lowerLetter"/>
      <w:lvlText w:val="(%1)"/>
      <w:lvlJc w:val="left"/>
      <w:pPr>
        <w:tabs>
          <w:tab w:val="num" w:pos="1584"/>
        </w:tabs>
        <w:ind w:left="1584" w:hanging="648"/>
      </w:pPr>
      <w:rPr>
        <w:sz w:val="22"/>
        <w:i w:val="false"/>
        <w:b w:val="false"/>
        <w:bCs w:val="false"/>
        <w:color w:val="auto"/>
      </w:rPr>
    </w:lvl>
    <w:lvl w:ilvl="1">
      <w:start w:val="1"/>
      <w:numFmt w:val="decimal"/>
      <w:lvlText w:val="8.%2"/>
      <w:lvlJc w:val="left"/>
      <w:pPr>
        <w:tabs>
          <w:tab w:val="num" w:pos="1440"/>
        </w:tabs>
        <w:ind w:left="1440" w:hanging="360"/>
      </w:pPr>
      <w:rPr>
        <w:sz w:val="22"/>
        <w:i w:val="false"/>
        <w:b w:val="false"/>
        <w:szCs w:val="22"/>
        <w:bCs w:val="false"/>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8.%1"/>
      <w:lvlJc w:val="left"/>
      <w:pPr>
        <w:tabs>
          <w:tab w:val="num" w:pos="360"/>
        </w:tabs>
        <w:ind w:left="360" w:hanging="360"/>
      </w:pPr>
      <w:rPr>
        <w:lang w:val="fr-FR"/>
      </w:rPr>
    </w:lvl>
    <w:lvl w:ilvl="1">
      <w:start w:val="1"/>
      <w:numFmt w:val="decimal"/>
      <w:lvlText w:val="9.%2"/>
      <w:lvlJc w:val="left"/>
      <w:pPr>
        <w:tabs>
          <w:tab w:val="num" w:pos="648"/>
        </w:tabs>
        <w:ind w:left="648" w:hanging="576"/>
      </w:pPr>
      <w:rPr>
        <w:lang w:val="fr-FR"/>
      </w:rPr>
    </w:lvl>
    <w:lvl w:ilvl="2">
      <w:start w:val="1"/>
      <w:numFmt w:val="decimal"/>
      <w:lvlText w:val="%21.%3"/>
      <w:lvlJc w:val="left"/>
      <w:pPr>
        <w:tabs>
          <w:tab w:val="num" w:pos="540"/>
        </w:tabs>
        <w:ind w:left="540" w:hanging="360"/>
      </w:pPr>
      <w:rPr>
        <w:lang w:val="fr-FR"/>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49.%1"/>
      <w:lvlJc w:val="left"/>
      <w:pPr>
        <w:tabs>
          <w:tab w:val="num" w:pos="1215"/>
        </w:tabs>
        <w:ind w:left="1215" w:hanging="792"/>
      </w:pPr>
    </w:lvl>
    <w:lvl w:ilvl="1">
      <w:start w:val="1"/>
      <w:numFmt w:val="lowerLetter"/>
      <w:lvlText w:val="(%2)"/>
      <w:lvlJc w:val="right"/>
      <w:pPr>
        <w:tabs>
          <w:tab w:val="num" w:pos="1260"/>
        </w:tabs>
        <w:ind w:left="1260" w:hanging="180"/>
      </w:pPr>
      <w:rPr>
        <w:sz w:val="22"/>
        <w:i w:val="false"/>
        <w:b w:val="false"/>
        <w:bCs w:val="false"/>
        <w:rFonts w:ascii="Arial" w:hAnsi="Arial" w:cs="Arial"/>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4"/>
      <w:numFmt w:val="decimal"/>
      <w:lvlText w:val="4.%1"/>
      <w:lvlJc w:val="left"/>
      <w:pPr>
        <w:tabs>
          <w:tab w:val="num" w:pos="648"/>
        </w:tabs>
        <w:ind w:left="648" w:hanging="648"/>
      </w:pPr>
    </w:lvl>
    <w:lvl w:ilvl="1">
      <w:start w:val="1"/>
      <w:numFmt w:val="lowerLetter"/>
      <w:lvlText w:val="(%2)"/>
      <w:lvlJc w:val="left"/>
      <w:pPr>
        <w:tabs>
          <w:tab w:val="num" w:pos="1980"/>
        </w:tabs>
        <w:ind w:left="1980" w:hanging="900"/>
      </w:pPr>
    </w:lvl>
    <w:lvl w:ilvl="2">
      <w:start w:val="1"/>
      <w:numFmt w:val="lowerLetter"/>
      <w:lvlText w:val="(%3)"/>
      <w:lvlJc w:val="left"/>
      <w:pPr>
        <w:tabs>
          <w:tab w:val="num" w:pos="2628"/>
        </w:tabs>
        <w:ind w:left="2628" w:hanging="648"/>
      </w:pPr>
      <w:rPr>
        <w:sz w:val="22"/>
        <w:i w:val="false"/>
        <w:b w:val="false"/>
        <w:bCs w:val="false"/>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lvl w:ilvl="0">
      <w:start w:val="1"/>
      <w:numFmt w:val="decimal"/>
      <w:lvlText w:val="32.%1"/>
      <w:lvlJc w:val="left"/>
      <w:pPr>
        <w:tabs>
          <w:tab w:val="num" w:pos="648"/>
        </w:tabs>
        <w:ind w:left="648" w:hanging="648"/>
      </w:pPr>
    </w:lvl>
    <w:lvl w:ilvl="1">
      <w:start w:val="1"/>
      <w:numFmt w:val="lowerLetter"/>
      <w:lvlText w:val="(%2)"/>
      <w:lvlJc w:val="left"/>
      <w:pPr>
        <w:tabs>
          <w:tab w:val="num" w:pos="1980"/>
        </w:tabs>
        <w:ind w:left="1980" w:hanging="900"/>
      </w:pPr>
    </w:lvl>
    <w:lvl w:ilvl="2">
      <w:start w:val="1"/>
      <w:numFmt w:val="lowerRoman"/>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lvl w:ilvl="0">
      <w:start w:val="1"/>
      <w:numFmt w:val="decimal"/>
      <w:lvlText w:val="32.%1"/>
      <w:lvlJc w:val="left"/>
      <w:pPr>
        <w:tabs>
          <w:tab w:val="num" w:pos="648"/>
        </w:tabs>
        <w:ind w:left="648" w:hanging="648"/>
      </w:pPr>
      <w:rPr>
        <w:sz w:val="22"/>
        <w:szCs w:val="22"/>
      </w:rPr>
    </w:lvl>
    <w:lvl w:ilvl="1">
      <w:start w:val="1"/>
      <w:numFmt w:val="decimal"/>
      <w:lvlText w:val="34.%2"/>
      <w:lvlJc w:val="left"/>
      <w:pPr>
        <w:tabs>
          <w:tab w:val="num" w:pos="1440"/>
        </w:tabs>
        <w:ind w:left="1440" w:hanging="360"/>
      </w:pPr>
      <w:rPr>
        <w:sz w:val="22"/>
        <w:i w:val="false"/>
        <w:b w:val="false"/>
        <w:szCs w:val="22"/>
        <w:bCs w:val="false"/>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lvl w:ilvl="0">
      <w:start w:val="1"/>
      <w:numFmt w:val="decimal"/>
      <w:lvlText w:val="41.%1"/>
      <w:lvlJc w:val="left"/>
      <w:pPr>
        <w:tabs>
          <w:tab w:val="num" w:pos="972"/>
        </w:tabs>
        <w:ind w:left="972" w:hanging="792"/>
      </w:pPr>
    </w:lvl>
    <w:lvl w:ilvl="1">
      <w:start w:val="1"/>
      <w:numFmt w:val="none"/>
      <w:suff w:val="nothing"/>
      <w:lvlText w:val=""/>
      <w:lvlJc w:val="left"/>
      <w:pPr>
        <w:tabs>
          <w:tab w:val="num" w:pos="0"/>
        </w:tabs>
        <w:ind w:left="360" w:hanging="360"/>
      </w:pPr>
    </w:lvl>
    <w:lvl w:ilvl="2">
      <w:start w:val="1"/>
      <w:numFmt w:val="lowerLetter"/>
      <w:lvlText w:val="(%3)"/>
      <w:lvlJc w:val="right"/>
      <w:pPr>
        <w:tabs>
          <w:tab w:val="num" w:pos="540"/>
        </w:tabs>
        <w:ind w:left="540" w:hanging="180"/>
      </w:pPr>
      <w:rPr>
        <w:sz w:val="22"/>
        <w:i w:val="false"/>
        <w:b w:val="false"/>
        <w:bCs w:val="false"/>
        <w:color w:val="auto"/>
      </w:r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2">
    <w:lvl w:ilvl="0">
      <w:start w:val="1"/>
      <w:numFmt w:val="lowerLetter"/>
      <w:lvlText w:val="(%1)"/>
      <w:lvlJc w:val="left"/>
      <w:pPr>
        <w:tabs>
          <w:tab w:val="num" w:pos="1224"/>
        </w:tabs>
        <w:ind w:left="1224" w:hanging="576"/>
      </w:pPr>
      <w:rPr>
        <w:sz w:val="22"/>
        <w:i w:val="false"/>
        <w:b w:val="false"/>
        <w:szCs w:val="22"/>
        <w:rFonts w:ascii="Arial" w:hAnsi="Arial"/>
      </w:rPr>
    </w:lvl>
    <w:lvl w:ilvl="1">
      <w:start w:val="3"/>
      <w:numFmt w:val="decimal"/>
      <w:lvlText w:val="82.%2"/>
      <w:lvlJc w:val="left"/>
      <w:pPr>
        <w:tabs>
          <w:tab w:val="num" w:pos="648"/>
        </w:tabs>
        <w:ind w:left="648" w:hanging="648"/>
      </w:pPr>
      <w:rPr>
        <w:sz w:val="21"/>
        <w:i w:val="false"/>
        <w:b w:val="false"/>
        <w:rFonts w:ascii="Arial" w:hAnsi="Arial"/>
      </w:rPr>
    </w:lvl>
    <w:lvl w:ilvl="2">
      <w:start w:val="1"/>
      <w:numFmt w:val="lowerRoman"/>
      <w:lvlText w:val="%3."/>
      <w:lvlJc w:val="right"/>
      <w:pPr>
        <w:tabs>
          <w:tab w:val="num" w:pos="1512"/>
        </w:tabs>
        <w:ind w:left="1512" w:hanging="180"/>
      </w:pPr>
    </w:lvl>
    <w:lvl w:ilvl="3">
      <w:start w:val="1"/>
      <w:numFmt w:val="decimal"/>
      <w:lvlText w:val="%4."/>
      <w:lvlJc w:val="left"/>
      <w:pPr>
        <w:tabs>
          <w:tab w:val="num" w:pos="2232"/>
        </w:tabs>
        <w:ind w:left="2232" w:hanging="360"/>
      </w:pPr>
    </w:lvl>
    <w:lvl w:ilvl="4">
      <w:start w:val="1"/>
      <w:numFmt w:val="lowerLetter"/>
      <w:lvlText w:val="%5."/>
      <w:lvlJc w:val="left"/>
      <w:pPr>
        <w:tabs>
          <w:tab w:val="num" w:pos="2952"/>
        </w:tabs>
        <w:ind w:left="2952" w:hanging="360"/>
      </w:pPr>
    </w:lvl>
    <w:lvl w:ilvl="5">
      <w:start w:val="1"/>
      <w:numFmt w:val="lowerRoman"/>
      <w:lvlText w:val="%6."/>
      <w:lvlJc w:val="right"/>
      <w:pPr>
        <w:tabs>
          <w:tab w:val="num" w:pos="3672"/>
        </w:tabs>
        <w:ind w:left="3672" w:hanging="180"/>
      </w:pPr>
    </w:lvl>
    <w:lvl w:ilvl="6">
      <w:start w:val="1"/>
      <w:numFmt w:val="decimal"/>
      <w:lvlText w:val="%7."/>
      <w:lvlJc w:val="left"/>
      <w:pPr>
        <w:tabs>
          <w:tab w:val="num" w:pos="4392"/>
        </w:tabs>
        <w:ind w:left="4392" w:hanging="360"/>
      </w:pPr>
    </w:lvl>
    <w:lvl w:ilvl="7">
      <w:start w:val="1"/>
      <w:numFmt w:val="lowerLetter"/>
      <w:lvlText w:val="%8."/>
      <w:lvlJc w:val="left"/>
      <w:pPr>
        <w:tabs>
          <w:tab w:val="num" w:pos="5112"/>
        </w:tabs>
        <w:ind w:left="5112" w:hanging="360"/>
      </w:pPr>
    </w:lvl>
    <w:lvl w:ilvl="8">
      <w:start w:val="1"/>
      <w:numFmt w:val="lowerRoman"/>
      <w:lvlText w:val="%9."/>
      <w:lvlJc w:val="right"/>
      <w:pPr>
        <w:tabs>
          <w:tab w:val="num" w:pos="5832"/>
        </w:tabs>
        <w:ind w:left="5832" w:hanging="180"/>
      </w:pPr>
    </w:lvl>
  </w:abstractNum>
  <w:abstractNum w:abstractNumId="13">
    <w:lvl w:ilvl="0">
      <w:start w:val="1"/>
      <w:numFmt w:val="decimal"/>
      <w:lvlText w:val="1.%1"/>
      <w:lvlJc w:val="left"/>
      <w:pPr>
        <w:tabs>
          <w:tab w:val="num" w:pos="648"/>
        </w:tabs>
        <w:ind w:left="648" w:hanging="648"/>
      </w:pPr>
    </w:lvl>
    <w:lvl w:ilvl="1">
      <w:start w:val="1"/>
      <w:numFmt w:val="decimal"/>
      <w:lvlText w:val="%2.1"/>
      <w:lvlJc w:val="left"/>
      <w:pPr>
        <w:tabs>
          <w:tab w:val="num" w:pos="540"/>
        </w:tabs>
        <w:ind w:left="540" w:hanging="360"/>
      </w:pPr>
    </w:lvl>
    <w:lvl w:ilvl="2">
      <w:start w:val="3"/>
      <w:numFmt w:val="decimal"/>
      <w:lvlText w:val="%2.%3"/>
      <w:lvlJc w:val="left"/>
      <w:pPr>
        <w:tabs>
          <w:tab w:val="num" w:pos="648"/>
        </w:tabs>
        <w:ind w:left="648" w:hanging="648"/>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lvl w:ilvl="0">
      <w:start w:val="1"/>
      <w:numFmt w:val="decimal"/>
      <w:lvlText w:val="2.%1"/>
      <w:lvlJc w:val="left"/>
      <w:pPr>
        <w:tabs>
          <w:tab w:val="num" w:pos="828"/>
        </w:tabs>
        <w:ind w:left="828" w:hanging="648"/>
      </w:pPr>
    </w:lvl>
    <w:lvl w:ilvl="1">
      <w:start w:val="1"/>
      <w:numFmt w:val="decimal"/>
      <w:lvlText w:val="3.%2"/>
      <w:lvlJc w:val="left"/>
      <w:pPr>
        <w:tabs>
          <w:tab w:val="num" w:pos="360"/>
        </w:tabs>
        <w:ind w:left="360" w:hanging="360"/>
      </w:pPr>
    </w:lvl>
    <w:lvl w:ilvl="2">
      <w:start w:val="1"/>
      <w:numFmt w:val="lowerRoman"/>
      <w:lvlText w:val="%3."/>
      <w:lvlJc w:val="right"/>
      <w:pPr>
        <w:tabs>
          <w:tab w:val="num" w:pos="2794"/>
        </w:tabs>
        <w:ind w:left="2794" w:hanging="180"/>
      </w:pPr>
    </w:lvl>
    <w:lvl w:ilvl="3">
      <w:start w:val="1"/>
      <w:numFmt w:val="decimal"/>
      <w:lvlText w:val="%4."/>
      <w:lvlJc w:val="left"/>
      <w:pPr>
        <w:tabs>
          <w:tab w:val="num" w:pos="3514"/>
        </w:tabs>
        <w:ind w:left="3514" w:hanging="360"/>
      </w:pPr>
    </w:lvl>
    <w:lvl w:ilvl="4">
      <w:start w:val="1"/>
      <w:numFmt w:val="lowerLetter"/>
      <w:lvlText w:val="%5."/>
      <w:lvlJc w:val="left"/>
      <w:pPr>
        <w:tabs>
          <w:tab w:val="num" w:pos="4234"/>
        </w:tabs>
        <w:ind w:left="4234" w:hanging="360"/>
      </w:pPr>
    </w:lvl>
    <w:lvl w:ilvl="5">
      <w:start w:val="1"/>
      <w:numFmt w:val="lowerRoman"/>
      <w:lvlText w:val="%6."/>
      <w:lvlJc w:val="right"/>
      <w:pPr>
        <w:tabs>
          <w:tab w:val="num" w:pos="4954"/>
        </w:tabs>
        <w:ind w:left="4954" w:hanging="180"/>
      </w:pPr>
    </w:lvl>
    <w:lvl w:ilvl="6">
      <w:start w:val="1"/>
      <w:numFmt w:val="decimal"/>
      <w:lvlText w:val="%7."/>
      <w:lvlJc w:val="left"/>
      <w:pPr>
        <w:tabs>
          <w:tab w:val="num" w:pos="5674"/>
        </w:tabs>
        <w:ind w:left="5674" w:hanging="360"/>
      </w:pPr>
    </w:lvl>
    <w:lvl w:ilvl="7">
      <w:start w:val="1"/>
      <w:numFmt w:val="lowerLetter"/>
      <w:lvlText w:val="%8."/>
      <w:lvlJc w:val="left"/>
      <w:pPr>
        <w:tabs>
          <w:tab w:val="num" w:pos="6394"/>
        </w:tabs>
        <w:ind w:left="6394" w:hanging="360"/>
      </w:pPr>
    </w:lvl>
    <w:lvl w:ilvl="8">
      <w:start w:val="1"/>
      <w:numFmt w:val="lowerRoman"/>
      <w:lvlText w:val="%9."/>
      <w:lvlJc w:val="right"/>
      <w:pPr>
        <w:tabs>
          <w:tab w:val="num" w:pos="7114"/>
        </w:tabs>
        <w:ind w:left="7114" w:hanging="180"/>
      </w:pPr>
    </w:lvl>
  </w:abstractNum>
  <w:abstractNum w:abstractNumId="15">
    <w:lvl w:ilvl="0">
      <w:start w:val="1"/>
      <w:numFmt w:val="decimal"/>
      <w:lvlText w:val="4.%1"/>
      <w:lvlJc w:val="left"/>
      <w:pPr>
        <w:tabs>
          <w:tab w:val="num" w:pos="360"/>
        </w:tabs>
        <w:ind w:left="360" w:hanging="360"/>
      </w:pPr>
    </w:lvl>
    <w:lvl w:ilvl="1">
      <w:start w:val="1"/>
      <w:numFmt w:val="lowerLetter"/>
      <w:lvlText w:val="(%2)"/>
      <w:lvlJc w:val="left"/>
      <w:pPr>
        <w:tabs>
          <w:tab w:val="num" w:pos="720"/>
        </w:tabs>
        <w:ind w:left="756" w:hanging="360"/>
      </w:pPr>
      <w:rPr>
        <w:sz w:val="22"/>
        <w:szCs w:val="22"/>
        <w:rFonts w:ascii="Arial" w:hAnsi="Arial" w:cs="Arial"/>
      </w:rPr>
    </w:lvl>
    <w:lvl w:ilvl="2">
      <w:start w:val="1"/>
      <w:numFmt w:val="lowerRoman"/>
      <w:lvlText w:val="%3."/>
      <w:lvlJc w:val="right"/>
      <w:pPr>
        <w:tabs>
          <w:tab w:val="num" w:pos="720"/>
        </w:tabs>
        <w:ind w:left="720" w:hanging="180"/>
      </w:pPr>
    </w:lvl>
    <w:lvl w:ilvl="3">
      <w:start w:val="1"/>
      <w:numFmt w:val="decimal"/>
      <w:lvlText w:val="%4."/>
      <w:lvlJc w:val="left"/>
      <w:pPr>
        <w:tabs>
          <w:tab w:val="num" w:pos="2808"/>
        </w:tabs>
        <w:ind w:left="2808" w:hanging="360"/>
      </w:pPr>
    </w:lvl>
    <w:lvl w:ilvl="4">
      <w:start w:val="1"/>
      <w:numFmt w:val="lowerLetter"/>
      <w:lvlText w:val="%5."/>
      <w:lvlJc w:val="left"/>
      <w:pPr>
        <w:tabs>
          <w:tab w:val="num" w:pos="3528"/>
        </w:tabs>
        <w:ind w:left="3528" w:hanging="360"/>
      </w:pPr>
    </w:lvl>
    <w:lvl w:ilvl="5">
      <w:start w:val="1"/>
      <w:numFmt w:val="lowerRoman"/>
      <w:lvlText w:val="%6."/>
      <w:lvlJc w:val="right"/>
      <w:pPr>
        <w:tabs>
          <w:tab w:val="num" w:pos="4248"/>
        </w:tabs>
        <w:ind w:left="4248" w:hanging="180"/>
      </w:pPr>
    </w:lvl>
    <w:lvl w:ilvl="6">
      <w:start w:val="1"/>
      <w:numFmt w:val="decimal"/>
      <w:lvlText w:val="%7."/>
      <w:lvlJc w:val="left"/>
      <w:pPr>
        <w:tabs>
          <w:tab w:val="num" w:pos="4968"/>
        </w:tabs>
        <w:ind w:left="4968" w:hanging="360"/>
      </w:pPr>
    </w:lvl>
    <w:lvl w:ilvl="7">
      <w:start w:val="1"/>
      <w:numFmt w:val="lowerLetter"/>
      <w:lvlText w:val="%8."/>
      <w:lvlJc w:val="left"/>
      <w:pPr>
        <w:tabs>
          <w:tab w:val="num" w:pos="5688"/>
        </w:tabs>
        <w:ind w:left="5688" w:hanging="360"/>
      </w:pPr>
    </w:lvl>
    <w:lvl w:ilvl="8">
      <w:start w:val="1"/>
      <w:numFmt w:val="lowerRoman"/>
      <w:lvlText w:val="%9."/>
      <w:lvlJc w:val="right"/>
      <w:pPr>
        <w:tabs>
          <w:tab w:val="num" w:pos="6408"/>
        </w:tabs>
        <w:ind w:left="6408" w:hanging="180"/>
      </w:pPr>
    </w:lvl>
  </w:abstractNum>
  <w:abstractNum w:abstractNumId="16">
    <w:lvl w:ilvl="0">
      <w:start w:val="1"/>
      <w:numFmt w:val="decimal"/>
      <w:lvlText w:val="3%1.0"/>
      <w:lvlJc w:val="left"/>
      <w:pPr>
        <w:tabs>
          <w:tab w:val="num" w:pos="360"/>
        </w:tabs>
        <w:ind w:left="360" w:hanging="360"/>
      </w:pPr>
    </w:lvl>
    <w:lvl w:ilvl="1">
      <w:start w:val="1"/>
      <w:numFmt w:val="lowerLetter"/>
      <w:lvlText w:val="(%2)"/>
      <w:lvlJc w:val="left"/>
      <w:pPr>
        <w:tabs>
          <w:tab w:val="num" w:pos="1548"/>
        </w:tabs>
        <w:ind w:left="1548" w:hanging="360"/>
      </w:pPr>
    </w:lvl>
    <w:lvl w:ilvl="2">
      <w:start w:val="1"/>
      <w:numFmt w:val="lowerRoman"/>
      <w:lvlText w:val="%3."/>
      <w:lvlJc w:val="right"/>
      <w:pPr>
        <w:tabs>
          <w:tab w:val="num" w:pos="2268"/>
        </w:tabs>
        <w:ind w:left="2268" w:hanging="180"/>
      </w:pPr>
    </w:lvl>
    <w:lvl w:ilvl="3">
      <w:start w:val="1"/>
      <w:numFmt w:val="decimal"/>
      <w:lvlText w:val="%4."/>
      <w:lvlJc w:val="left"/>
      <w:pPr>
        <w:tabs>
          <w:tab w:val="num" w:pos="2988"/>
        </w:tabs>
        <w:ind w:left="2988" w:hanging="360"/>
      </w:pPr>
    </w:lvl>
    <w:lvl w:ilvl="4">
      <w:start w:val="1"/>
      <w:numFmt w:val="lowerLetter"/>
      <w:lvlText w:val="%5."/>
      <w:lvlJc w:val="left"/>
      <w:pPr>
        <w:tabs>
          <w:tab w:val="num" w:pos="3708"/>
        </w:tabs>
        <w:ind w:left="3708" w:hanging="360"/>
      </w:pPr>
    </w:lvl>
    <w:lvl w:ilvl="5">
      <w:start w:val="1"/>
      <w:numFmt w:val="lowerRoman"/>
      <w:lvlText w:val="%6."/>
      <w:lvlJc w:val="right"/>
      <w:pPr>
        <w:tabs>
          <w:tab w:val="num" w:pos="4428"/>
        </w:tabs>
        <w:ind w:left="4428" w:hanging="180"/>
      </w:pPr>
    </w:lvl>
    <w:lvl w:ilvl="6">
      <w:start w:val="1"/>
      <w:numFmt w:val="decimal"/>
      <w:lvlText w:val="%7."/>
      <w:lvlJc w:val="left"/>
      <w:pPr>
        <w:tabs>
          <w:tab w:val="num" w:pos="5148"/>
        </w:tabs>
        <w:ind w:left="5148" w:hanging="360"/>
      </w:pPr>
    </w:lvl>
    <w:lvl w:ilvl="7">
      <w:start w:val="1"/>
      <w:numFmt w:val="lowerLetter"/>
      <w:lvlText w:val="%8."/>
      <w:lvlJc w:val="left"/>
      <w:pPr>
        <w:tabs>
          <w:tab w:val="num" w:pos="5868"/>
        </w:tabs>
        <w:ind w:left="5868" w:hanging="360"/>
      </w:pPr>
    </w:lvl>
    <w:lvl w:ilvl="8">
      <w:start w:val="1"/>
      <w:numFmt w:val="lowerRoman"/>
      <w:lvlText w:val="%9."/>
      <w:lvlJc w:val="right"/>
      <w:pPr>
        <w:tabs>
          <w:tab w:val="num" w:pos="6588"/>
        </w:tabs>
        <w:ind w:left="6588" w:hanging="180"/>
      </w:pPr>
    </w:lvl>
  </w:abstractNum>
  <w:abstractNum w:abstractNumId="17">
    <w:lvl w:ilvl="0">
      <w:start w:val="1"/>
      <w:numFmt w:val="decimal"/>
      <w:lvlText w:val="12.%1"/>
      <w:lvlJc w:val="left"/>
      <w:pPr>
        <w:tabs>
          <w:tab w:val="num" w:pos="576"/>
        </w:tabs>
        <w:ind w:left="576" w:hanging="576"/>
      </w:pPr>
    </w:lvl>
    <w:lvl w:ilvl="1">
      <w:start w:val="1"/>
      <w:numFmt w:val="upperRoman"/>
      <w:lvlText w:val="%2."/>
      <w:lvlJc w:val="right"/>
      <w:pPr>
        <w:tabs>
          <w:tab w:val="num" w:pos="720"/>
        </w:tabs>
        <w:ind w:left="720" w:hanging="180"/>
      </w:pPr>
    </w:lvl>
    <w:lvl w:ilvl="2">
      <w:start w:val="1"/>
      <w:numFmt w:val="decimal"/>
      <w:lvlText w:val="%25.%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lvl w:ilvl="0">
      <w:start w:val="1"/>
      <w:numFmt w:val="lowerLetter"/>
      <w:lvlText w:val="(%1)"/>
      <w:lvlJc w:val="right"/>
      <w:pPr>
        <w:tabs>
          <w:tab w:val="num" w:pos="720"/>
        </w:tabs>
        <w:ind w:left="720" w:hanging="180"/>
      </w:pPr>
      <w:rPr>
        <w:sz w:val="22"/>
        <w:i w:val="false"/>
        <w:b w:val="false"/>
        <w:bCs w:val="false"/>
        <w:color w:val="auto"/>
      </w:r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19">
    <w:lvl w:ilvl="0">
      <w:start w:val="1"/>
      <w:numFmt w:val="decimal"/>
      <w:lvlText w:val="6.%1"/>
      <w:lvlJc w:val="left"/>
      <w:pPr>
        <w:tabs>
          <w:tab w:val="num" w:pos="648"/>
        </w:tabs>
        <w:ind w:left="648"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lvl w:ilvl="0">
      <w:start w:val="1"/>
      <w:numFmt w:val="decimal"/>
      <w:lvlText w:val="8.%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lvl w:ilvl="0">
      <w:start w:val="1"/>
      <w:numFmt w:val="decimal"/>
      <w:lvlText w:val="9.%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lvl w:ilvl="0">
      <w:start w:val="1"/>
      <w:numFmt w:val="decimal"/>
      <w:lvlText w:val="12.%1"/>
      <w:lvlJc w:val="left"/>
      <w:pPr>
        <w:tabs>
          <w:tab w:val="num" w:pos="783"/>
        </w:tabs>
        <w:ind w:left="783"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lvl w:ilvl="0">
      <w:start w:val="1"/>
      <w:numFmt w:val="decimal"/>
      <w:lvlText w:val="14.%1"/>
      <w:lvlJc w:val="left"/>
      <w:pPr>
        <w:tabs>
          <w:tab w:val="num" w:pos="783"/>
        </w:tabs>
        <w:ind w:left="783"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lvl w:ilvl="0">
      <w:start w:val="1"/>
      <w:numFmt w:val="decimal"/>
      <w:lvlText w:val="21.%1"/>
      <w:lvlJc w:val="left"/>
      <w:pPr>
        <w:tabs>
          <w:tab w:val="num" w:pos="540"/>
        </w:tabs>
        <w:ind w:left="54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lvl w:ilvl="0">
      <w:start w:val="1"/>
      <w:numFmt w:val="decimal"/>
      <w:lvlText w:val="2%1.0"/>
      <w:lvlJc w:val="left"/>
      <w:pPr>
        <w:tabs>
          <w:tab w:val="num" w:pos="756"/>
        </w:tabs>
        <w:ind w:left="756" w:hanging="576"/>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lvl w:ilvl="0">
      <w:start w:val="1"/>
      <w:numFmt w:val="decimal"/>
      <w:lvlText w:val="47.%1"/>
      <w:lvlJc w:val="left"/>
      <w:pPr>
        <w:tabs>
          <w:tab w:val="num" w:pos="360"/>
        </w:tabs>
        <w:ind w:left="36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lvl w:ilvl="0">
      <w:start w:val="1"/>
      <w:numFmt w:val="lowerLetter"/>
      <w:lvlText w:val="(%1)"/>
      <w:lvlJc w:val="right"/>
      <w:pPr>
        <w:tabs>
          <w:tab w:val="num" w:pos="1440"/>
        </w:tabs>
        <w:ind w:left="1440" w:hanging="18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lvl w:ilvl="0">
      <w:start w:val="1"/>
      <w:numFmt w:val="decimal"/>
      <w:lvlText w:val="49.%1"/>
      <w:lvlJc w:val="left"/>
      <w:pPr>
        <w:tabs>
          <w:tab w:val="num" w:pos="360"/>
        </w:tabs>
        <w:ind w:left="36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lvl w:ilvl="0">
      <w:start w:val="1"/>
      <w:numFmt w:val="decimal"/>
      <w:lvlText w:val="51.%1"/>
      <w:lvlJc w:val="left"/>
      <w:pPr>
        <w:tabs>
          <w:tab w:val="num" w:pos="504"/>
        </w:tabs>
        <w:ind w:left="540" w:hanging="360"/>
      </w:pPr>
    </w:lvl>
    <w:lvl w:ilvl="1">
      <w:start w:val="1"/>
      <w:numFmt w:val="lowerLetter"/>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lvl w:ilvl="0">
      <w:start w:val="1"/>
      <w:numFmt w:val="decimal"/>
      <w:lvlText w:val="56.%1"/>
      <w:lvlJc w:val="left"/>
      <w:pPr>
        <w:tabs>
          <w:tab w:val="num" w:pos="756"/>
        </w:tabs>
        <w:ind w:left="756" w:hanging="576"/>
      </w:pPr>
      <w:rPr>
        <w:sz w:val="22"/>
        <w:szCs w:val="22"/>
      </w:rPr>
    </w:lvl>
    <w:lvl w:ilvl="1">
      <w:start w:val="1"/>
      <w:numFmt w:val="lowerLetter"/>
      <w:lvlText w:val="%2."/>
      <w:lvlJc w:val="left"/>
      <w:pPr>
        <w:tabs>
          <w:tab w:val="num" w:pos="1440"/>
        </w:tabs>
        <w:ind w:left="1440" w:hanging="360"/>
      </w:pPr>
    </w:lvl>
    <w:lvl w:ilvl="2">
      <w:start w:val="1"/>
      <w:numFmt w:val="decimal"/>
      <w:lvlText w:val="57.%3"/>
      <w:lvlJc w:val="left"/>
      <w:pPr>
        <w:tabs>
          <w:tab w:val="num" w:pos="576"/>
        </w:tabs>
        <w:ind w:left="576" w:hanging="576"/>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lvl w:ilvl="0">
      <w:start w:val="1"/>
      <w:numFmt w:val="decimal"/>
      <w:lvlText w:val="%1."/>
      <w:lvlJc w:val="left"/>
      <w:pPr>
        <w:tabs>
          <w:tab w:val="num" w:pos="360"/>
        </w:tabs>
        <w:ind w:left="360" w:hanging="360"/>
      </w:pPr>
      <w:rPr>
        <w:sz w:val="22"/>
        <w:b/>
        <w:szCs w:val="22"/>
        <w:rFonts w:ascii="Arial" w:hAnsi="Arial" w:cs="Arial"/>
      </w:rPr>
    </w:lvl>
    <w:lvl w:ilvl="1">
      <w:start w:val="1"/>
      <w:numFmt w:val="decimal"/>
      <w:lvlText w:val="%2%1.1"/>
      <w:lvlJc w:val="left"/>
      <w:pPr>
        <w:tabs>
          <w:tab w:val="num" w:pos="720"/>
        </w:tabs>
        <w:ind w:left="720" w:hanging="360"/>
      </w:pPr>
      <w:rPr>
        <w:b w:val="false"/>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2">
    <w:lvl w:ilvl="0">
      <w:start w:val="1"/>
      <w:numFmt w:val="decimal"/>
      <w:lvlText w:val="%1."/>
      <w:lvlJc w:val="left"/>
      <w:pPr>
        <w:tabs>
          <w:tab w:val="num" w:pos="432"/>
        </w:tabs>
        <w:ind w:left="432" w:hanging="432"/>
      </w:pPr>
    </w:lvl>
    <w:lvl w:ilvl="1">
      <w:start w:val="1"/>
      <w:numFmt w:val="decimal"/>
      <w:lvlText w:val="%27.1"/>
      <w:lvlJc w:val="left"/>
      <w:pPr>
        <w:tabs>
          <w:tab w:val="num" w:pos="648"/>
        </w:tabs>
        <w:ind w:left="648" w:hanging="648"/>
      </w:pPr>
      <w:rPr>
        <w:sz w:val="22"/>
        <w:i w:val="false"/>
        <w:b w:val="false"/>
        <w:bCs w:val="false"/>
        <w:color w:val="auto"/>
      </w:rPr>
    </w:lvl>
    <w:lvl w:ilvl="2">
      <w:start w:val="1"/>
      <w:numFmt w:val="lowerLetter"/>
      <w:lvlText w:val="(%3)"/>
      <w:lvlJc w:val="left"/>
      <w:pPr>
        <w:tabs>
          <w:tab w:val="num" w:pos="2628"/>
        </w:tabs>
        <w:ind w:left="2628" w:hanging="648"/>
      </w:pPr>
      <w:rPr>
        <w:sz w:val="22"/>
        <w:i w:val="false"/>
        <w:b w:val="false"/>
        <w:bCs w:val="false"/>
        <w:rFonts w:ascii="Arial" w:hAnsi="Arial"/>
        <w:color w:val="auto"/>
      </w:rPr>
    </w:lvl>
    <w:lvl w:ilvl="3">
      <w:start w:val="1"/>
      <w:numFmt w:val="decimal"/>
      <w:lvlText w:val="%2%4.3"/>
      <w:lvlJc w:val="left"/>
      <w:pPr>
        <w:tabs>
          <w:tab w:val="num" w:pos="3168"/>
        </w:tabs>
        <w:ind w:left="3168" w:hanging="648"/>
      </w:pPr>
    </w:lvl>
    <w:lvl w:ilvl="4">
      <w:start w:val="1"/>
      <w:numFmt w:val="decimal"/>
      <w:lvlText w:val="%2%5.4"/>
      <w:lvlJc w:val="left"/>
      <w:pPr>
        <w:tabs>
          <w:tab w:val="num" w:pos="3888"/>
        </w:tabs>
        <w:ind w:left="3888" w:hanging="648"/>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lvl w:ilvl="0">
      <w:start w:val="1"/>
      <w:numFmt w:val="decimal"/>
      <w:lvlText w:val="13.%1"/>
      <w:lvlJc w:val="left"/>
      <w:pPr>
        <w:tabs>
          <w:tab w:val="num" w:pos="783"/>
        </w:tabs>
        <w:ind w:left="783"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lvl w:ilvl="0">
      <w:start w:val="1"/>
      <w:numFmt w:val="lowerLetter"/>
      <w:lvlText w:val="(%1)"/>
      <w:lvlJc w:val="right"/>
      <w:pPr>
        <w:tabs>
          <w:tab w:val="num" w:pos="720"/>
        </w:tabs>
        <w:ind w:left="720" w:hanging="180"/>
      </w:pPr>
      <w:rPr>
        <w:sz w:val="22"/>
        <w:i w:val="false"/>
        <w:b w:val="false"/>
        <w:bCs w:val="false"/>
        <w:color w:val="auto"/>
      </w:rPr>
    </w:lvl>
    <w:lvl w:ilvl="1">
      <w:start w:val="1"/>
      <w:numFmt w:val="decimal"/>
      <w:lvlText w:val="2.%2"/>
      <w:lvlJc w:val="left"/>
      <w:pPr>
        <w:tabs>
          <w:tab w:val="num" w:pos="900"/>
        </w:tabs>
        <w:ind w:left="900" w:hanging="360"/>
      </w:pPr>
      <w:rPr>
        <w:sz w:val="22"/>
        <w:i w:val="false"/>
        <w:b w:val="false"/>
        <w:bCs w:val="false"/>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lvl w:ilvl="0">
      <w:start w:val="1"/>
      <w:numFmt w:val="lowerLetter"/>
      <w:lvlText w:val="(%1)"/>
      <w:lvlJc w:val="left"/>
      <w:pPr>
        <w:tabs>
          <w:tab w:val="num" w:pos="2628"/>
        </w:tabs>
        <w:ind w:left="2628" w:hanging="576"/>
      </w:pPr>
      <w:rPr>
        <w:sz w:val="22"/>
        <w:i w:val="false"/>
        <w:b w:val="false"/>
        <w:szCs w:val="22"/>
        <w:rFonts w:ascii="Arial" w:hAnsi="Arial"/>
      </w:rPr>
    </w:lvl>
    <w:lvl w:ilvl="1">
      <w:start w:val="4"/>
      <w:numFmt w:val="decimal"/>
      <w:lvlText w:val="38.%2"/>
      <w:lvlJc w:val="left"/>
      <w:pPr>
        <w:tabs>
          <w:tab w:val="num" w:pos="2052"/>
        </w:tabs>
        <w:ind w:left="2052" w:hanging="648"/>
      </w:pPr>
      <w:rPr>
        <w:sz w:val="22"/>
        <w:i w:val="false"/>
        <w:b w:val="false"/>
        <w:bCs w:val="false"/>
        <w:color w:val="auto"/>
      </w:rPr>
    </w:lvl>
    <w:lvl w:ilvl="2">
      <w:start w:val="1"/>
      <w:numFmt w:val="lowerRoman"/>
      <w:lvlText w:val="%3."/>
      <w:lvlJc w:val="right"/>
      <w:pPr>
        <w:tabs>
          <w:tab w:val="num" w:pos="3564"/>
        </w:tabs>
        <w:ind w:left="3564" w:hanging="180"/>
      </w:pPr>
    </w:lvl>
    <w:lvl w:ilvl="3">
      <w:start w:val="1"/>
      <w:numFmt w:val="decimal"/>
      <w:lvlText w:val="%4."/>
      <w:lvlJc w:val="left"/>
      <w:pPr>
        <w:tabs>
          <w:tab w:val="num" w:pos="4284"/>
        </w:tabs>
        <w:ind w:left="4284" w:hanging="360"/>
      </w:pPr>
    </w:lvl>
    <w:lvl w:ilvl="4">
      <w:start w:val="1"/>
      <w:numFmt w:val="lowerLetter"/>
      <w:lvlText w:val="%5."/>
      <w:lvlJc w:val="left"/>
      <w:pPr>
        <w:tabs>
          <w:tab w:val="num" w:pos="5004"/>
        </w:tabs>
        <w:ind w:left="5004" w:hanging="360"/>
      </w:pPr>
    </w:lvl>
    <w:lvl w:ilvl="5">
      <w:start w:val="1"/>
      <w:numFmt w:val="lowerRoman"/>
      <w:lvlText w:val="%6."/>
      <w:lvlJc w:val="right"/>
      <w:pPr>
        <w:tabs>
          <w:tab w:val="num" w:pos="5724"/>
        </w:tabs>
        <w:ind w:left="5724" w:hanging="180"/>
      </w:pPr>
    </w:lvl>
    <w:lvl w:ilvl="6">
      <w:start w:val="1"/>
      <w:numFmt w:val="decimal"/>
      <w:lvlText w:val="%7."/>
      <w:lvlJc w:val="left"/>
      <w:pPr>
        <w:tabs>
          <w:tab w:val="num" w:pos="6444"/>
        </w:tabs>
        <w:ind w:left="6444" w:hanging="360"/>
      </w:pPr>
    </w:lvl>
    <w:lvl w:ilvl="7">
      <w:start w:val="1"/>
      <w:numFmt w:val="lowerLetter"/>
      <w:lvlText w:val="%8."/>
      <w:lvlJc w:val="left"/>
      <w:pPr>
        <w:tabs>
          <w:tab w:val="num" w:pos="7164"/>
        </w:tabs>
        <w:ind w:left="7164" w:hanging="360"/>
      </w:pPr>
    </w:lvl>
    <w:lvl w:ilvl="8">
      <w:start w:val="1"/>
      <w:numFmt w:val="lowerRoman"/>
      <w:lvlText w:val="%9."/>
      <w:lvlJc w:val="right"/>
      <w:pPr>
        <w:tabs>
          <w:tab w:val="num" w:pos="7884"/>
        </w:tabs>
        <w:ind w:left="7884" w:hanging="180"/>
      </w:pPr>
    </w:lvl>
  </w:abstractNum>
  <w:abstractNum w:abstractNumId="36">
    <w:lvl w:ilvl="0">
      <w:start w:val="1"/>
      <w:numFmt w:val="decimal"/>
      <w:lvlText w:val="5.%1"/>
      <w:lvlJc w:val="left"/>
      <w:pPr>
        <w:tabs>
          <w:tab w:val="num" w:pos="720"/>
        </w:tabs>
        <w:ind w:left="720" w:hanging="360"/>
      </w:pPr>
      <w:rPr>
        <w:sz w:val="22"/>
        <w:szCs w:val="22"/>
        <w:rFonts w:ascii="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lvl w:ilvl="0">
      <w:start w:val="1"/>
      <w:numFmt w:val="decimal"/>
      <w:lvlText w:val="2.%1"/>
      <w:lvlJc w:val="left"/>
      <w:pPr>
        <w:tabs>
          <w:tab w:val="num" w:pos="540"/>
        </w:tabs>
        <w:ind w:left="540" w:hanging="360"/>
      </w:pPr>
      <w:rPr>
        <w:b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lvl w:ilvl="0">
      <w:start w:val="1"/>
      <w:numFmt w:val="decimal"/>
      <w:lvlText w:val="7.%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lvl w:ilvl="0">
      <w:start w:val="1"/>
      <w:numFmt w:val="lowerLetter"/>
      <w:lvlText w:val="(%1)"/>
      <w:lvlJc w:val="right"/>
      <w:pPr>
        <w:tabs>
          <w:tab w:val="num" w:pos="720"/>
        </w:tabs>
        <w:ind w:left="720" w:hanging="18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lvl w:ilvl="0">
      <w:start w:val="1"/>
      <w:numFmt w:val="lowerLetter"/>
      <w:lvlText w:val="(%1)"/>
      <w:lvlJc w:val="right"/>
      <w:pPr>
        <w:tabs>
          <w:tab w:val="num" w:pos="900"/>
        </w:tabs>
        <w:ind w:left="900" w:hanging="180"/>
      </w:pPr>
      <w:rPr>
        <w:sz w:val="22"/>
        <w:i w:val="false"/>
        <w:b w:val="false"/>
        <w:bCs w:val="false"/>
        <w:color w:val="auto"/>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41">
    <w:lvl w:ilvl="0">
      <w:start w:val="1"/>
      <w:numFmt w:val="lowerLetter"/>
      <w:lvlText w:val="(%1)"/>
      <w:lvlJc w:val="right"/>
      <w:pPr>
        <w:tabs>
          <w:tab w:val="num" w:pos="1440"/>
        </w:tabs>
        <w:ind w:left="1440" w:hanging="180"/>
      </w:pPr>
      <w:rPr>
        <w:sz w:val="22"/>
        <w:i w:val="false"/>
        <w:b w:val="false"/>
        <w:bCs w:val="false"/>
        <w:color w:val="auto"/>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2">
    <w:lvl w:ilvl="0">
      <w:start w:val="1"/>
      <w:numFmt w:val="lowerLetter"/>
      <w:lvlText w:val="(%1)"/>
      <w:lvlJc w:val="right"/>
      <w:pPr>
        <w:tabs>
          <w:tab w:val="num" w:pos="900"/>
        </w:tabs>
        <w:ind w:left="900" w:hanging="180"/>
      </w:pPr>
      <w:rPr>
        <w:sz w:val="22"/>
        <w:i w:val="false"/>
        <w:b w:val="false"/>
        <w:bCs w:val="false"/>
        <w:color w:val="auto"/>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43">
    <w:lvl w:ilvl="0">
      <w:start w:val="1"/>
      <w:numFmt w:val="lowerRoman"/>
      <w:lvlText w:val="%1."/>
      <w:lvlJc w:val="righ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44">
    <w:lvl w:ilvl="0">
      <w:start w:val="1"/>
      <w:numFmt w:val="decimal"/>
      <w:lvlText w:val="66.%1"/>
      <w:lvlJc w:val="left"/>
      <w:pPr>
        <w:tabs>
          <w:tab w:val="num" w:pos="648"/>
        </w:tabs>
        <w:ind w:left="648" w:hanging="576"/>
      </w:pPr>
    </w:lvl>
    <w:lvl w:ilvl="1">
      <w:start w:val="1"/>
      <w:numFmt w:val="decimal"/>
      <w:lvlText w:val="65.%2"/>
      <w:lvlJc w:val="left"/>
      <w:pPr>
        <w:tabs>
          <w:tab w:val="num" w:pos="1728"/>
        </w:tabs>
        <w:ind w:left="1728" w:hanging="648"/>
      </w:pPr>
      <w:rPr>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lvl w:ilvl="0">
      <w:start w:val="1"/>
      <w:numFmt w:val="decimal"/>
      <w:lvlText w:val="36.%1"/>
      <w:lvlJc w:val="left"/>
      <w:pPr>
        <w:tabs>
          <w:tab w:val="num" w:pos="360"/>
        </w:tabs>
        <w:ind w:left="36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lvl w:ilvl="0">
      <w:start w:val="1"/>
      <w:numFmt w:val="decimal"/>
      <w:lvlText w:val="45.%1"/>
      <w:lvlJc w:val="left"/>
      <w:pPr>
        <w:tabs>
          <w:tab w:val="num" w:pos="540"/>
        </w:tabs>
        <w:ind w:left="54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lvl w:ilvl="0">
      <w:start w:val="1"/>
      <w:numFmt w:val="decimal"/>
      <w:lvlText w:val="46.%1"/>
      <w:lvlJc w:val="left"/>
      <w:pPr>
        <w:tabs>
          <w:tab w:val="num" w:pos="540"/>
        </w:tabs>
        <w:ind w:left="54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lvl w:ilvl="0">
      <w:start w:val="1"/>
      <w:numFmt w:val="decimal"/>
      <w:lvlText w:val="%1"/>
      <w:lvlJc w:val="right"/>
      <w:pPr>
        <w:tabs>
          <w:tab w:val="num" w:pos="720"/>
        </w:tabs>
        <w:ind w:left="720" w:hanging="180"/>
      </w:pPr>
      <w:rPr>
        <w:sz w:val="22"/>
        <w:i w:val="false"/>
        <w:b w:val="false"/>
        <w:bCs w:val="false"/>
        <w:color w:val="auto"/>
      </w:rPr>
    </w:lvl>
    <w:lvl w:ilvl="1">
      <w:start w:val="1"/>
      <w:numFmt w:val="decimal"/>
      <w:lvlText w:val="%2.1"/>
      <w:lvlJc w:val="left"/>
      <w:pPr>
        <w:tabs>
          <w:tab w:val="num" w:pos="360"/>
        </w:tabs>
        <w:ind w:left="360" w:hanging="360"/>
      </w:pPr>
      <w:rPr>
        <w:sz w:val="21"/>
        <w:i w:val="false"/>
        <w:b w:val="false"/>
        <w:szCs w:val="21"/>
        <w:bCs w:val="false"/>
        <w:color w:val="auto"/>
      </w:rPr>
    </w:lvl>
    <w:lvl w:ilvl="2">
      <w:start w:val="1"/>
      <w:numFmt w:val="lowerLetter"/>
      <w:lvlText w:val="(%3)"/>
      <w:lvlJc w:val="left"/>
      <w:pPr>
        <w:tabs>
          <w:tab w:val="num" w:pos="1080"/>
        </w:tabs>
        <w:ind w:left="1080" w:hanging="360"/>
      </w:pPr>
      <w:rPr>
        <w:sz w:val="22"/>
        <w:i w:val="false"/>
        <w:b w:val="false"/>
        <w:bCs w:val="false"/>
        <w:color w:val="auto"/>
        <w:lang w:val="en-US"/>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lvl w:ilvl="0">
      <w:start w:val="1"/>
      <w:numFmt w:val="lowerLetter"/>
      <w:lvlText w:val="(%1)"/>
      <w:lvlJc w:val="left"/>
      <w:pPr>
        <w:tabs>
          <w:tab w:val="num" w:pos="1296"/>
        </w:tabs>
        <w:ind w:left="1296" w:hanging="90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lvl w:ilvl="0">
      <w:start w:val="1"/>
      <w:numFmt w:val="lowerLetter"/>
      <w:lvlText w:val="(%1)"/>
      <w:lvlJc w:val="left"/>
      <w:pPr>
        <w:tabs>
          <w:tab w:val="num" w:pos="1296"/>
        </w:tabs>
        <w:ind w:left="1296" w:hanging="90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34.%4"/>
      <w:lvlJc w:val="left"/>
      <w:pPr>
        <w:tabs>
          <w:tab w:val="num" w:pos="2880"/>
        </w:tabs>
        <w:ind w:left="2880" w:hanging="360"/>
      </w:pPr>
      <w:rPr>
        <w:sz w:val="22"/>
        <w:i w:val="false"/>
        <w:b w:val="false"/>
        <w:szCs w:val="22"/>
        <w:bCs w:val="false"/>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lvl w:ilvl="0">
      <w:start w:val="1"/>
      <w:numFmt w:val="lowerLetter"/>
      <w:lvlText w:val="(%1)"/>
      <w:lvlJc w:val="left"/>
      <w:pPr>
        <w:tabs>
          <w:tab w:val="num" w:pos="576"/>
        </w:tabs>
        <w:ind w:left="576" w:hanging="576"/>
      </w:pPr>
      <w:rPr>
        <w:sz w:val="24"/>
        <w:i w:val="false"/>
        <w:u w:val="none"/>
        <w:b w:val="false"/>
        <w:szCs w:val="24"/>
        <w:rFonts w:ascii="Times New Roman" w:hAnsi="Times New Roman" w:cs="Times New Roman"/>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lvl w:ilvl="0">
      <w:start w:val="1"/>
      <w:numFmt w:val="lowerLetter"/>
      <w:lvlText w:val="(%1)"/>
      <w:lvlJc w:val="left"/>
      <w:pPr>
        <w:tabs>
          <w:tab w:val="num" w:pos="2052"/>
        </w:tabs>
        <w:ind w:left="2052" w:hanging="900"/>
      </w:pPr>
      <w:rPr>
        <w:sz w:val="22"/>
        <w:szCs w:val="22"/>
      </w:rPr>
    </w:lvl>
    <w:lvl w:ilvl="1">
      <w:start w:val="1"/>
      <w:numFmt w:val="decimal"/>
      <w:lvlText w:val="45.%2"/>
      <w:lvlJc w:val="left"/>
      <w:pPr>
        <w:tabs>
          <w:tab w:val="num" w:pos="1512"/>
        </w:tabs>
        <w:ind w:left="1512" w:hanging="360"/>
      </w:pPr>
      <w:rPr>
        <w:sz w:val="22"/>
        <w:i w:val="false"/>
        <w:b w:val="false"/>
        <w:szCs w:val="22"/>
        <w:bCs w:val="false"/>
        <w:color w:val="auto"/>
      </w:rPr>
    </w:lvl>
    <w:lvl w:ilvl="2">
      <w:start w:val="1"/>
      <w:numFmt w:val="lowerLetter"/>
      <w:lvlText w:val="(%3)"/>
      <w:lvlJc w:val="left"/>
      <w:pPr>
        <w:tabs>
          <w:tab w:val="num" w:pos="2700"/>
        </w:tabs>
        <w:ind w:left="2700" w:hanging="648"/>
      </w:pPr>
      <w:rPr>
        <w:sz w:val="22"/>
        <w:i w:val="false"/>
        <w:b w:val="false"/>
        <w:szCs w:val="22"/>
        <w:bCs w:val="false"/>
        <w:color w:val="auto"/>
      </w:rPr>
    </w:lvl>
    <w:lvl w:ilvl="3">
      <w:start w:val="1"/>
      <w:numFmt w:val="decimal"/>
      <w:lvlText w:val="%4."/>
      <w:lvlJc w:val="left"/>
      <w:pPr>
        <w:tabs>
          <w:tab w:val="num" w:pos="2952"/>
        </w:tabs>
        <w:ind w:left="2952" w:hanging="360"/>
      </w:pPr>
    </w:lvl>
    <w:lvl w:ilvl="4">
      <w:start w:val="1"/>
      <w:numFmt w:val="lowerLetter"/>
      <w:lvlText w:val="%5."/>
      <w:lvlJc w:val="left"/>
      <w:pPr>
        <w:tabs>
          <w:tab w:val="num" w:pos="3672"/>
        </w:tabs>
        <w:ind w:left="3672" w:hanging="360"/>
      </w:pPr>
    </w:lvl>
    <w:lvl w:ilvl="5">
      <w:start w:val="1"/>
      <w:numFmt w:val="lowerRoman"/>
      <w:lvlText w:val="%6."/>
      <w:lvlJc w:val="right"/>
      <w:pPr>
        <w:tabs>
          <w:tab w:val="num" w:pos="4392"/>
        </w:tabs>
        <w:ind w:left="4392" w:hanging="180"/>
      </w:pPr>
    </w:lvl>
    <w:lvl w:ilvl="6">
      <w:start w:val="1"/>
      <w:numFmt w:val="decimal"/>
      <w:lvlText w:val="%7."/>
      <w:lvlJc w:val="left"/>
      <w:pPr>
        <w:tabs>
          <w:tab w:val="num" w:pos="5112"/>
        </w:tabs>
        <w:ind w:left="5112" w:hanging="360"/>
      </w:pPr>
    </w:lvl>
    <w:lvl w:ilvl="7">
      <w:start w:val="1"/>
      <w:numFmt w:val="lowerLetter"/>
      <w:lvlText w:val="%8."/>
      <w:lvlJc w:val="left"/>
      <w:pPr>
        <w:tabs>
          <w:tab w:val="num" w:pos="5832"/>
        </w:tabs>
        <w:ind w:left="5832" w:hanging="360"/>
      </w:pPr>
    </w:lvl>
    <w:lvl w:ilvl="8">
      <w:start w:val="1"/>
      <w:numFmt w:val="lowerRoman"/>
      <w:lvlText w:val="%9."/>
      <w:lvlJc w:val="right"/>
      <w:pPr>
        <w:tabs>
          <w:tab w:val="num" w:pos="6552"/>
        </w:tabs>
        <w:ind w:left="6552" w:hanging="180"/>
      </w:pPr>
    </w:lvl>
  </w:abstractNum>
  <w:abstractNum w:abstractNumId="53">
    <w:lvl w:ilvl="0">
      <w:start w:val="1"/>
      <w:numFmt w:val="lowerLetter"/>
      <w:lvlText w:val="%1)"/>
      <w:lvlJc w:val="left"/>
      <w:pPr>
        <w:tabs>
          <w:tab w:val="num" w:pos="1080"/>
        </w:tabs>
        <w:ind w:left="1080" w:hanging="360"/>
      </w:pPr>
      <w:rPr>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lvl w:ilvl="0">
      <w:start w:val="1"/>
      <w:numFmt w:val="lowerLett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5">
    <w:lvl w:ilvl="0">
      <w:start w:val="1"/>
      <w:numFmt w:val="lowerRoman"/>
      <w:lvlText w:val="(%1)"/>
      <w:lvlJc w:val="left"/>
      <w:pPr>
        <w:tabs>
          <w:tab w:val="num" w:pos="2160"/>
        </w:tabs>
        <w:ind w:left="2160" w:hanging="72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lvl w:ilvl="0">
      <w:start w:val="1"/>
      <w:numFmt w:val="lowerLetter"/>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lvl w:ilvl="0">
      <w:start w:val="1"/>
      <w:numFmt w:val="lowerLetter"/>
      <w:lvlText w:val="(%1)"/>
      <w:lvlJc w:val="left"/>
      <w:pPr>
        <w:tabs>
          <w:tab w:val="num" w:pos="720"/>
        </w:tabs>
        <w:ind w:left="720" w:hanging="720"/>
      </w:pPr>
      <w:rPr>
        <w:sz w:val="24"/>
        <w:i/>
        <w:b w:val="false"/>
        <w:szCs w:val="24"/>
        <w:rFonts w:ascii="Times New Roman" w:hAnsi="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lvl w:ilvl="0">
      <w:start w:val="1"/>
      <w:numFmt w:val="decimal"/>
      <w:lvlText w:val="16.%1"/>
      <w:lvlJc w:val="left"/>
      <w:pPr>
        <w:tabs>
          <w:tab w:val="num" w:pos="360"/>
        </w:tabs>
        <w:ind w:left="360" w:hanging="360"/>
      </w:pPr>
      <w:rPr>
        <w:sz w:val="22"/>
        <w:i w:val="false"/>
        <w:b w:val="false"/>
        <w:szCs w:val="22"/>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lvl w:ilvl="0">
      <w:start w:val="1"/>
      <w:numFmt w:val="decimal"/>
      <w:lvlText w:val="17.%1"/>
      <w:lvlJc w:val="left"/>
      <w:pPr>
        <w:tabs>
          <w:tab w:val="num" w:pos="360"/>
        </w:tabs>
        <w:ind w:left="360" w:hanging="360"/>
      </w:pPr>
      <w:rPr>
        <w:sz w:val="22"/>
        <w:i w:val="false"/>
        <w:b w:val="false"/>
        <w:szCs w:val="22"/>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lvl w:ilvl="0">
      <w:start w:val="1"/>
      <w:numFmt w:val="decimal"/>
      <w:lvlText w:val="26.%1"/>
      <w:lvlJc w:val="left"/>
      <w:pPr>
        <w:tabs>
          <w:tab w:val="num" w:pos="3168"/>
        </w:tabs>
        <w:ind w:left="3168" w:hanging="648"/>
      </w:pPr>
      <w:rPr>
        <w:sz w:val="22"/>
        <w:i w:val="false"/>
        <w:b w:val="false"/>
        <w:szCs w:val="22"/>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lvl w:ilvl="0">
      <w:start w:val="1"/>
      <w:numFmt w:val="decimal"/>
      <w:lvlText w:val="27.%1"/>
      <w:lvlJc w:val="left"/>
      <w:pPr>
        <w:tabs>
          <w:tab w:val="num" w:pos="2880"/>
        </w:tabs>
        <w:ind w:left="2880" w:hanging="360"/>
      </w:pPr>
      <w:rPr>
        <w:sz w:val="22"/>
        <w:i w:val="false"/>
        <w:b w:val="false"/>
        <w:szCs w:val="22"/>
        <w:bCs w:val="false"/>
        <w:color w:val="auto"/>
      </w:rPr>
    </w:lvl>
    <w:lvl w:ilvl="1">
      <w:start w:val="1"/>
      <w:numFmt w:val="decimal"/>
      <w:lvlText w:val="28.%2"/>
      <w:lvlJc w:val="left"/>
      <w:pPr>
        <w:tabs>
          <w:tab w:val="num" w:pos="540"/>
        </w:tabs>
        <w:ind w:left="540" w:hanging="360"/>
      </w:pPr>
      <w:rPr>
        <w:sz w:val="22"/>
        <w:i w:val="false"/>
        <w:b w:val="false"/>
        <w:szCs w:val="22"/>
        <w:bCs w:val="false"/>
        <w:rFonts w:ascii="Arial" w:hAnsi="Arial" w:cs="Arial"/>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lvl w:ilvl="0">
      <w:start w:val="1"/>
      <w:numFmt w:val="lowerLetter"/>
      <w:lvlText w:val="%1."/>
      <w:lvlJc w:val="left"/>
      <w:pPr>
        <w:tabs>
          <w:tab w:val="num" w:pos="1242"/>
        </w:tabs>
        <w:ind w:left="1242" w:hanging="360"/>
      </w:pPr>
    </w:lvl>
    <w:lvl w:ilvl="1">
      <w:start w:val="1"/>
      <w:numFmt w:val="lowerLetter"/>
      <w:lvlText w:val="%2."/>
      <w:lvlJc w:val="left"/>
      <w:pPr>
        <w:tabs>
          <w:tab w:val="num" w:pos="1962"/>
        </w:tabs>
        <w:ind w:left="1962" w:hanging="360"/>
      </w:pPr>
    </w:lvl>
    <w:lvl w:ilvl="2">
      <w:start w:val="1"/>
      <w:numFmt w:val="lowerRoman"/>
      <w:lvlText w:val="%3."/>
      <w:lvlJc w:val="right"/>
      <w:pPr>
        <w:tabs>
          <w:tab w:val="num" w:pos="2682"/>
        </w:tabs>
        <w:ind w:left="2682" w:hanging="180"/>
      </w:pPr>
    </w:lvl>
    <w:lvl w:ilvl="3">
      <w:start w:val="1"/>
      <w:numFmt w:val="decimal"/>
      <w:lvlText w:val="%4."/>
      <w:lvlJc w:val="left"/>
      <w:pPr>
        <w:tabs>
          <w:tab w:val="num" w:pos="3402"/>
        </w:tabs>
        <w:ind w:left="3402" w:hanging="360"/>
      </w:pPr>
    </w:lvl>
    <w:lvl w:ilvl="4">
      <w:start w:val="1"/>
      <w:numFmt w:val="lowerLetter"/>
      <w:lvlText w:val="%5."/>
      <w:lvlJc w:val="left"/>
      <w:pPr>
        <w:tabs>
          <w:tab w:val="num" w:pos="4122"/>
        </w:tabs>
        <w:ind w:left="4122" w:hanging="360"/>
      </w:pPr>
    </w:lvl>
    <w:lvl w:ilvl="5">
      <w:start w:val="1"/>
      <w:numFmt w:val="lowerRoman"/>
      <w:lvlText w:val="%6."/>
      <w:lvlJc w:val="right"/>
      <w:pPr>
        <w:tabs>
          <w:tab w:val="num" w:pos="4842"/>
        </w:tabs>
        <w:ind w:left="4842" w:hanging="180"/>
      </w:pPr>
    </w:lvl>
    <w:lvl w:ilvl="6">
      <w:start w:val="1"/>
      <w:numFmt w:val="decimal"/>
      <w:lvlText w:val="%7."/>
      <w:lvlJc w:val="left"/>
      <w:pPr>
        <w:tabs>
          <w:tab w:val="num" w:pos="5562"/>
        </w:tabs>
        <w:ind w:left="5562" w:hanging="360"/>
      </w:pPr>
    </w:lvl>
    <w:lvl w:ilvl="7">
      <w:start w:val="1"/>
      <w:numFmt w:val="lowerLetter"/>
      <w:lvlText w:val="%8."/>
      <w:lvlJc w:val="left"/>
      <w:pPr>
        <w:tabs>
          <w:tab w:val="num" w:pos="6282"/>
        </w:tabs>
        <w:ind w:left="6282" w:hanging="360"/>
      </w:pPr>
    </w:lvl>
    <w:lvl w:ilvl="8">
      <w:start w:val="1"/>
      <w:numFmt w:val="lowerRoman"/>
      <w:lvlText w:val="%9."/>
      <w:lvlJc w:val="right"/>
      <w:pPr>
        <w:tabs>
          <w:tab w:val="num" w:pos="7002"/>
        </w:tabs>
        <w:ind w:left="7002" w:hanging="180"/>
      </w:pPr>
    </w:lvl>
  </w:abstractNum>
  <w:abstractNum w:abstractNumId="64">
    <w:lvl w:ilvl="0">
      <w:start w:val="1"/>
      <w:numFmt w:val="decimal"/>
      <w:lvlText w:val="6.%1"/>
      <w:lvlJc w:val="left"/>
      <w:pPr>
        <w:tabs>
          <w:tab w:val="num" w:pos="900"/>
        </w:tabs>
        <w:ind w:left="900" w:hanging="360"/>
      </w:pPr>
      <w:rPr>
        <w:sz w:val="22"/>
        <w:i w:val="false"/>
        <w:b w:val="false"/>
        <w:szCs w:val="22"/>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lvl w:ilvl="0">
      <w:start w:val="1"/>
      <w:numFmt w:val="decimal"/>
      <w:lvlText w:val="25.%1"/>
      <w:lvlJc w:val="left"/>
      <w:pPr>
        <w:tabs>
          <w:tab w:val="num" w:pos="1674"/>
        </w:tabs>
        <w:ind w:left="1674" w:hanging="360"/>
      </w:pPr>
      <w:rPr>
        <w:sz w:val="22"/>
        <w:i w:val="false"/>
        <w:b w:val="false"/>
        <w:szCs w:val="22"/>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lvl w:ilvl="0">
      <w:start w:val="1"/>
      <w:numFmt w:val="decimal"/>
      <w:lvlText w:val="3%1.0"/>
      <w:lvlJc w:val="left"/>
      <w:pPr>
        <w:tabs>
          <w:tab w:val="num" w:pos="1368"/>
        </w:tabs>
        <w:ind w:left="1368" w:hanging="360"/>
      </w:pPr>
      <w:rPr>
        <w:sz w:val="22"/>
        <w:i w:val="false"/>
        <w:b w:val="false"/>
        <w:szCs w:val="22"/>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lvl w:ilvl="0">
      <w:start w:val="1"/>
      <w:numFmt w:val="decimal"/>
      <w:lvlText w:val="39.%1"/>
      <w:lvlJc w:val="left"/>
      <w:pPr>
        <w:tabs>
          <w:tab w:val="num" w:pos="900"/>
        </w:tabs>
        <w:ind w:left="900" w:hanging="648"/>
      </w:pPr>
      <w:rPr>
        <w:sz w:val="22"/>
        <w:szCs w:val="22"/>
        <w:rFonts w:ascii="Arial" w:hAnsi="Arial" w:cs="Arial"/>
      </w:rPr>
    </w:lvl>
    <w:lvl w:ilvl="1">
      <w:start w:val="1"/>
      <w:numFmt w:val="decimal"/>
      <w:lvlText w:val="38.%2"/>
      <w:lvlJc w:val="left"/>
      <w:pPr>
        <w:tabs>
          <w:tab w:val="num" w:pos="1440"/>
        </w:tabs>
        <w:ind w:left="1440" w:hanging="360"/>
      </w:pPr>
      <w:rPr>
        <w:sz w:val="22"/>
        <w:i w:val="false"/>
        <w:b w:val="false"/>
        <w:szCs w:val="22"/>
        <w:bCs w:val="false"/>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lvl w:ilvl="0">
      <w:start w:val="1"/>
      <w:numFmt w:val="decimal"/>
      <w:lvlText w:val="41.%1"/>
      <w:lvlJc w:val="left"/>
      <w:pPr>
        <w:tabs>
          <w:tab w:val="num" w:pos="1602"/>
        </w:tabs>
        <w:ind w:left="1602" w:hanging="360"/>
      </w:pPr>
      <w:rPr>
        <w:sz w:val="22"/>
        <w:i w:val="false"/>
        <w:b w:val="false"/>
        <w:szCs w:val="22"/>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lvl w:ilvl="0">
      <w:start w:val="1"/>
      <w:numFmt w:val="decimal"/>
      <w:lvlText w:val="42.%1"/>
      <w:lvlJc w:val="left"/>
      <w:pPr>
        <w:tabs>
          <w:tab w:val="num" w:pos="1602"/>
        </w:tabs>
        <w:ind w:left="1602" w:hanging="360"/>
      </w:pPr>
      <w:rPr>
        <w:sz w:val="22"/>
        <w:i w:val="false"/>
        <w:b w:val="false"/>
        <w:szCs w:val="22"/>
        <w:bCs w:val="false"/>
        <w:color w:val="auto"/>
      </w:rPr>
    </w:lvl>
    <w:lvl w:ilvl="1">
      <w:start w:val="1"/>
      <w:numFmt w:val="lowerLetter"/>
      <w:lvlText w:val="(%2)"/>
      <w:lvlJc w:val="left"/>
      <w:pPr>
        <w:tabs>
          <w:tab w:val="num" w:pos="1440"/>
        </w:tabs>
        <w:ind w:left="1440" w:hanging="360"/>
      </w:pPr>
      <w:rPr>
        <w:sz w:val="22"/>
        <w:i w:val="false"/>
        <w:b w:val="false"/>
        <w:bCs w:val="false"/>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lvl w:ilvl="0">
      <w:start w:val="1"/>
      <w:numFmt w:val="decimal"/>
      <w:lvlText w:val="16.%1"/>
      <w:lvlJc w:val="left"/>
      <w:pPr>
        <w:tabs>
          <w:tab w:val="num" w:pos="720"/>
        </w:tabs>
        <w:ind w:left="72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lvl w:ilvl="0">
      <w:start w:val="1"/>
      <w:numFmt w:val="decimal"/>
      <w:lvlText w:val="17.%1"/>
      <w:lvlJc w:val="left"/>
      <w:pPr>
        <w:tabs>
          <w:tab w:val="num" w:pos="720"/>
        </w:tabs>
        <w:ind w:left="72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lvl w:ilvl="0">
      <w:start w:val="1"/>
      <w:numFmt w:val="decimal"/>
      <w:lvlText w:val="18.%1"/>
      <w:lvlJc w:val="left"/>
      <w:pPr>
        <w:tabs>
          <w:tab w:val="num" w:pos="720"/>
        </w:tabs>
        <w:ind w:left="72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lvl w:ilvl="0">
      <w:start w:val="1"/>
      <w:numFmt w:val="decimal"/>
      <w:lvlText w:val="19.%1"/>
      <w:lvlJc w:val="left"/>
      <w:pPr>
        <w:tabs>
          <w:tab w:val="num" w:pos="720"/>
        </w:tabs>
        <w:ind w:left="72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lvl w:ilvl="0">
      <w:start w:val="1"/>
      <w:numFmt w:val="decimal"/>
      <w:lvlText w:val="2%1.0"/>
      <w:lvlJc w:val="left"/>
      <w:pPr>
        <w:tabs>
          <w:tab w:val="num" w:pos="720"/>
        </w:tabs>
        <w:ind w:left="72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lvl w:ilvl="0">
      <w:start w:val="1"/>
      <w:numFmt w:val="decimal"/>
      <w:lvlText w:val="23.%1"/>
      <w:lvlJc w:val="left"/>
      <w:pPr>
        <w:tabs>
          <w:tab w:val="num" w:pos="540"/>
        </w:tabs>
        <w:ind w:left="54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lvl w:ilvl="0">
      <w:start w:val="1"/>
      <w:numFmt w:val="decimal"/>
      <w:lvlText w:val="24.%1"/>
      <w:lvlJc w:val="left"/>
      <w:pPr>
        <w:tabs>
          <w:tab w:val="num" w:pos="540"/>
        </w:tabs>
        <w:ind w:left="54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lvl w:ilvl="0">
      <w:start w:val="1"/>
      <w:numFmt w:val="decimal"/>
      <w:lvlText w:val="25.%1"/>
      <w:lvlJc w:val="left"/>
      <w:pPr>
        <w:tabs>
          <w:tab w:val="num" w:pos="756"/>
        </w:tabs>
        <w:ind w:left="756" w:hanging="576"/>
      </w:pPr>
      <w:rPr>
        <w:sz w:val="22"/>
        <w:i w:val="false"/>
        <w:b w:val="false"/>
        <w:szCs w:val="22"/>
        <w:bCs w:val="false"/>
        <w:rFonts w:ascii="Arial" w:hAnsi="Arial"/>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lvl w:ilvl="0">
      <w:start w:val="2"/>
      <w:numFmt w:val="decimal"/>
      <w:lvlText w:val="27.%1"/>
      <w:lvlJc w:val="left"/>
      <w:pPr>
        <w:tabs>
          <w:tab w:val="num" w:pos="540"/>
        </w:tabs>
        <w:ind w:left="54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lvl w:ilvl="0">
      <w:start w:val="1"/>
      <w:numFmt w:val="decimal"/>
      <w:lvlText w:val="3%1.0"/>
      <w:lvlJc w:val="left"/>
      <w:pPr>
        <w:tabs>
          <w:tab w:val="num" w:pos="540"/>
        </w:tabs>
        <w:ind w:left="54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lvl w:ilvl="0">
      <w:start w:val="1"/>
      <w:numFmt w:val="decimal"/>
      <w:lvlText w:val="31.%1"/>
      <w:lvlJc w:val="left"/>
      <w:pPr>
        <w:tabs>
          <w:tab w:val="num" w:pos="540"/>
        </w:tabs>
        <w:ind w:left="54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lvl w:ilvl="0">
      <w:start w:val="1"/>
      <w:numFmt w:val="decimal"/>
      <w:lvlText w:val="32.%1"/>
      <w:lvlJc w:val="left"/>
      <w:pPr>
        <w:tabs>
          <w:tab w:val="num" w:pos="540"/>
        </w:tabs>
        <w:ind w:left="540" w:hanging="360"/>
      </w:pPr>
      <w:rPr>
        <w:sz w:val="22"/>
        <w:i w:val="false"/>
        <w:b w:val="false"/>
        <w:bCs w:val="false"/>
        <w:color w:val="auto"/>
      </w:rPr>
    </w:lvl>
    <w:lvl w:ilvl="1">
      <w:start w:val="1"/>
      <w:numFmt w:val="lowerLetter"/>
      <w:lvlText w:val="(%2)"/>
      <w:lvlJc w:val="left"/>
      <w:pPr>
        <w:tabs>
          <w:tab w:val="num" w:pos="1404"/>
        </w:tabs>
        <w:ind w:left="1440" w:hanging="360"/>
      </w:pPr>
      <w:rPr>
        <w:sz w:val="22"/>
        <w:i w:val="false"/>
        <w:b w:val="false"/>
        <w:bCs w:val="false"/>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lvl w:ilvl="0">
      <w:start w:val="1"/>
      <w:numFmt w:val="decimal"/>
      <w:lvlText w:val="33.%1"/>
      <w:lvlJc w:val="left"/>
      <w:pPr>
        <w:tabs>
          <w:tab w:val="num" w:pos="540"/>
        </w:tabs>
        <w:ind w:left="54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lvl w:ilvl="0">
      <w:start w:val="1"/>
      <w:numFmt w:val="decimal"/>
      <w:lvlText w:val="34.%1"/>
      <w:lvlJc w:val="left"/>
      <w:pPr>
        <w:tabs>
          <w:tab w:val="num" w:pos="540"/>
        </w:tabs>
        <w:ind w:left="54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lvl w:ilvl="0">
      <w:start w:val="1"/>
      <w:numFmt w:val="decimal"/>
      <w:lvlText w:val="35.%1"/>
      <w:lvlJc w:val="left"/>
      <w:pPr>
        <w:tabs>
          <w:tab w:val="num" w:pos="540"/>
        </w:tabs>
        <w:ind w:left="54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lvl w:ilvl="0">
      <w:start w:val="1"/>
      <w:numFmt w:val="decimal"/>
      <w:lvlText w:val="38.%1"/>
      <w:lvlJc w:val="left"/>
      <w:pPr>
        <w:tabs>
          <w:tab w:val="num" w:pos="360"/>
        </w:tabs>
        <w:ind w:left="36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lvl w:ilvl="0">
      <w:start w:val="1"/>
      <w:numFmt w:val="decimal"/>
      <w:lvlText w:val="4%1.0"/>
      <w:lvlJc w:val="left"/>
      <w:pPr>
        <w:tabs>
          <w:tab w:val="num" w:pos="360"/>
        </w:tabs>
        <w:ind w:left="36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lvl w:ilvl="0">
      <w:start w:val="1"/>
      <w:numFmt w:val="decimal"/>
      <w:lvlText w:val="41.%1"/>
      <w:lvlJc w:val="left"/>
      <w:pPr>
        <w:tabs>
          <w:tab w:val="num" w:pos="360"/>
        </w:tabs>
        <w:ind w:left="36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lvl w:ilvl="0">
      <w:start w:val="1"/>
      <w:numFmt w:val="decimal"/>
      <w:lvlText w:val="43.%1"/>
      <w:lvlJc w:val="left"/>
      <w:pPr>
        <w:tabs>
          <w:tab w:val="num" w:pos="360"/>
        </w:tabs>
        <w:ind w:left="36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9">
    <w:lvl w:ilvl="0">
      <w:start w:val="1"/>
      <w:numFmt w:val="decimal"/>
      <w:lvlText w:val="42.%1"/>
      <w:lvlJc w:val="left"/>
      <w:pPr>
        <w:tabs>
          <w:tab w:val="num" w:pos="360"/>
        </w:tabs>
        <w:ind w:left="360" w:hanging="360"/>
      </w:pPr>
      <w:rPr>
        <w:sz w:val="22"/>
        <w:i w:val="false"/>
        <w:b w:val="false"/>
        <w:bCs w:val="false"/>
        <w:color w:val="auto"/>
      </w:rPr>
    </w:lvl>
    <w:lvl w:ilvl="1">
      <w:start w:val="1"/>
      <w:numFmt w:val="lowerRoman"/>
      <w:lvlText w:val="(%2)"/>
      <w:lvlJc w:val="left"/>
      <w:pPr>
        <w:tabs>
          <w:tab w:val="num" w:pos="1800"/>
        </w:tabs>
        <w:ind w:left="1800" w:hanging="72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lvl w:ilvl="0">
      <w:start w:val="1"/>
      <w:numFmt w:val="decimal"/>
      <w:lvlText w:val="48.%1"/>
      <w:lvlJc w:val="left"/>
      <w:pPr>
        <w:tabs>
          <w:tab w:val="num" w:pos="360"/>
        </w:tabs>
        <w:ind w:left="360" w:hanging="360"/>
      </w:pPr>
      <w:rPr>
        <w:sz w:val="22"/>
        <w:i w:val="false"/>
        <w:b w:val="false"/>
        <w:bCs w:val="false"/>
        <w:color w:val="auto"/>
      </w:rPr>
    </w:lvl>
    <w:lvl w:ilvl="1">
      <w:start w:val="1"/>
      <w:numFmt w:val="lowerLetter"/>
      <w:lvlText w:val="(%2)"/>
      <w:lvlJc w:val="left"/>
      <w:pPr>
        <w:tabs>
          <w:tab w:val="num" w:pos="1440"/>
        </w:tabs>
        <w:ind w:left="1440" w:hanging="360"/>
      </w:pPr>
      <w:rPr>
        <w:sz w:val="22"/>
        <w:i w:val="false"/>
        <w:b w:val="false"/>
        <w:bCs w:val="false"/>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1">
    <w:lvl w:ilvl="0">
      <w:start w:val="1"/>
      <w:numFmt w:val="decimal"/>
      <w:lvlText w:val="53.%1"/>
      <w:lvlJc w:val="left"/>
      <w:pPr>
        <w:tabs>
          <w:tab w:val="num" w:pos="684"/>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2">
    <w:lvl w:ilvl="0">
      <w:start w:val="1"/>
      <w:numFmt w:val="decimal"/>
      <w:lvlText w:val="61.%1"/>
      <w:lvlJc w:val="left"/>
      <w:pPr>
        <w:tabs>
          <w:tab w:val="num" w:pos="576"/>
        </w:tabs>
        <w:ind w:left="576" w:hanging="576"/>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3">
    <w:lvl w:ilvl="0">
      <w:start w:val="1"/>
      <w:numFmt w:val="decimal"/>
      <w:lvlText w:val="62.%1"/>
      <w:lvlJc w:val="left"/>
      <w:pPr>
        <w:tabs>
          <w:tab w:val="num" w:pos="576"/>
        </w:tabs>
        <w:ind w:left="576" w:hanging="576"/>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lvl w:ilvl="0">
      <w:start w:val="1"/>
      <w:numFmt w:val="decimal"/>
      <w:lvlText w:val="64.%1"/>
      <w:lvlJc w:val="left"/>
      <w:pPr>
        <w:tabs>
          <w:tab w:val="num" w:pos="576"/>
        </w:tabs>
        <w:ind w:left="576" w:hanging="576"/>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5">
    <w:lvl w:ilvl="0">
      <w:start w:val="1"/>
      <w:numFmt w:val="decimal"/>
      <w:lvlText w:val="%1."/>
      <w:lvlJc w:val="left"/>
      <w:pPr>
        <w:tabs>
          <w:tab w:val="num" w:pos="720"/>
        </w:tabs>
        <w:ind w:left="720" w:hanging="360"/>
      </w:pPr>
      <w:rPr>
        <w:b/>
        <w:rFonts w:ascii="Arial" w:hAnsi="Arial" w:cs="Arial"/>
      </w:rPr>
    </w:lvl>
    <w:lvl w:ilvl="1">
      <w:start w:val="1"/>
      <w:numFmt w:val="lowerLetter"/>
      <w:lvlText w:val="(%2)"/>
      <w:lvlJc w:val="left"/>
      <w:pPr>
        <w:tabs>
          <w:tab w:val="num" w:pos="1404"/>
        </w:tabs>
        <w:ind w:left="1440" w:hanging="360"/>
      </w:pPr>
      <w:rPr>
        <w:sz w:val="22"/>
        <w:b w:val="false"/>
        <w:szCs w:val="22"/>
        <w:rFonts w:ascii="Arial" w:hAnsi="Arial" w:cs="Arial"/>
      </w:rPr>
    </w:lvl>
    <w:lvl w:ilvl="2">
      <w:start w:val="1"/>
      <w:numFmt w:val="lowerLetter"/>
      <w:lvlText w:val="(%3)"/>
      <w:lvlJc w:val="left"/>
      <w:pPr>
        <w:tabs>
          <w:tab w:val="num" w:pos="2304"/>
        </w:tabs>
        <w:ind w:left="2340" w:hanging="360"/>
      </w:pPr>
      <w:rPr>
        <w:sz w:val="22"/>
        <w:b w:val="false"/>
        <w:szCs w:val="22"/>
        <w:rFonts w:ascii="Arial" w:hAnsi="Arial" w:cs="Aria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lvl w:ilvl="0">
      <w:start w:val="1"/>
      <w:numFmt w:val="decimal"/>
      <w:lvlText w:val="29.%1"/>
      <w:lvlJc w:val="left"/>
      <w:pPr>
        <w:tabs>
          <w:tab w:val="num" w:pos="540"/>
        </w:tabs>
        <w:ind w:left="540" w:hanging="360"/>
      </w:pPr>
      <w:rPr>
        <w:sz w:val="22"/>
        <w:i w:val="false"/>
        <w:b w:val="false"/>
        <w:szCs w:val="22"/>
        <w:bCs w:val="false"/>
        <w:rFonts w:ascii="Arial" w:hAnsi="Arial" w:cs="Arial"/>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7">
    <w:lvl w:ilvl="0">
      <w:start w:val="1"/>
      <w:numFmt w:val="lowerLetter"/>
      <w:lvlText w:val="(%1)"/>
      <w:lvlJc w:val="left"/>
      <w:pPr>
        <w:tabs>
          <w:tab w:val="num" w:pos="1512"/>
        </w:tabs>
        <w:ind w:left="1512" w:hanging="432"/>
      </w:pPr>
      <w:rPr>
        <w:sz w:val="22"/>
        <w:i w:val="false"/>
        <w:b w:val="false"/>
        <w:bCs w:val="false"/>
        <w:color w:val="auto"/>
      </w:rPr>
    </w:lvl>
    <w:lvl w:ilvl="1">
      <w:start w:val="1"/>
      <w:numFmt w:val="lowerLetter"/>
      <w:lvlText w:val="%2."/>
      <w:lvlJc w:val="left"/>
      <w:pPr>
        <w:tabs>
          <w:tab w:val="num" w:pos="1296"/>
        </w:tabs>
        <w:ind w:left="1296" w:hanging="360"/>
      </w:pPr>
    </w:lvl>
    <w:lvl w:ilvl="2">
      <w:start w:val="1"/>
      <w:numFmt w:val="lowerRoman"/>
      <w:lvlText w:val="%3."/>
      <w:lvlJc w:val="right"/>
      <w:pPr>
        <w:tabs>
          <w:tab w:val="num" w:pos="2016"/>
        </w:tabs>
        <w:ind w:left="2016" w:hanging="180"/>
      </w:pPr>
    </w:lvl>
    <w:lvl w:ilvl="3">
      <w:start w:val="1"/>
      <w:numFmt w:val="decimal"/>
      <w:lvlText w:val="%4."/>
      <w:lvlJc w:val="left"/>
      <w:pPr>
        <w:tabs>
          <w:tab w:val="num" w:pos="2736"/>
        </w:tabs>
        <w:ind w:left="2736" w:hanging="360"/>
      </w:pPr>
    </w:lvl>
    <w:lvl w:ilvl="4">
      <w:start w:val="1"/>
      <w:numFmt w:val="lowerLetter"/>
      <w:lvlText w:val="%5."/>
      <w:lvlJc w:val="left"/>
      <w:pPr>
        <w:tabs>
          <w:tab w:val="num" w:pos="3456"/>
        </w:tabs>
        <w:ind w:left="3456" w:hanging="360"/>
      </w:pPr>
    </w:lvl>
    <w:lvl w:ilvl="5">
      <w:start w:val="1"/>
      <w:numFmt w:val="lowerRoman"/>
      <w:lvlText w:val="%6."/>
      <w:lvlJc w:val="right"/>
      <w:pPr>
        <w:tabs>
          <w:tab w:val="num" w:pos="4176"/>
        </w:tabs>
        <w:ind w:left="4176" w:hanging="180"/>
      </w:pPr>
    </w:lvl>
    <w:lvl w:ilvl="6">
      <w:start w:val="1"/>
      <w:numFmt w:val="decimal"/>
      <w:lvlText w:val="%7."/>
      <w:lvlJc w:val="left"/>
      <w:pPr>
        <w:tabs>
          <w:tab w:val="num" w:pos="4896"/>
        </w:tabs>
        <w:ind w:left="4896" w:hanging="360"/>
      </w:pPr>
    </w:lvl>
    <w:lvl w:ilvl="7">
      <w:start w:val="1"/>
      <w:numFmt w:val="lowerLetter"/>
      <w:lvlText w:val="%8."/>
      <w:lvlJc w:val="left"/>
      <w:pPr>
        <w:tabs>
          <w:tab w:val="num" w:pos="5616"/>
        </w:tabs>
        <w:ind w:left="5616" w:hanging="360"/>
      </w:pPr>
    </w:lvl>
    <w:lvl w:ilvl="8">
      <w:start w:val="1"/>
      <w:numFmt w:val="lowerRoman"/>
      <w:lvlText w:val="%9."/>
      <w:lvlJc w:val="right"/>
      <w:pPr>
        <w:tabs>
          <w:tab w:val="num" w:pos="6336"/>
        </w:tabs>
        <w:ind w:left="6336" w:hanging="180"/>
      </w:pPr>
    </w:lvl>
  </w:abstractNum>
  <w:abstractNum w:abstractNumId="98">
    <w:lvl w:ilvl="0">
      <w:start w:val="1"/>
      <w:numFmt w:val="decimal"/>
      <w:lvlText w:val="4.%1"/>
      <w:lvlJc w:val="left"/>
      <w:pPr>
        <w:tabs>
          <w:tab w:val="num" w:pos="936"/>
        </w:tabs>
        <w:ind w:left="936" w:hanging="576"/>
      </w:pPr>
      <w:rPr>
        <w:i w:val="false"/>
        <w:b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lvl w:ilvl="0">
      <w:start w:val="1"/>
      <w:numFmt w:val="lowerLetter"/>
      <w:lvlText w:val="(%1)"/>
      <w:lvlJc w:val="left"/>
      <w:pPr>
        <w:tabs>
          <w:tab w:val="num" w:pos="936"/>
        </w:tabs>
        <w:ind w:left="936" w:hanging="576"/>
      </w:pPr>
      <w:rPr>
        <w:sz w:val="22"/>
        <w:i w:val="false"/>
        <w:b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lvl w:ilvl="0">
      <w:start w:val="1"/>
      <w:numFmt w:val="decimal"/>
      <w:lvlText w:val="1%1.0"/>
      <w:lvlJc w:val="left"/>
      <w:pPr>
        <w:tabs>
          <w:tab w:val="num" w:pos="936"/>
        </w:tabs>
        <w:ind w:left="936" w:hanging="576"/>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lvl w:ilvl="0">
      <w:start w:val="1"/>
      <w:numFmt w:val="lowerLetter"/>
      <w:lvlText w:val="(%1)"/>
      <w:lvlJc w:val="left"/>
      <w:pPr>
        <w:tabs>
          <w:tab w:val="num" w:pos="1312"/>
        </w:tabs>
        <w:ind w:left="131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lvl w:ilvl="0">
      <w:start w:val="1"/>
      <w:numFmt w:val="decimal"/>
      <w:lvlText w:val="42.%1"/>
      <w:lvlJc w:val="left"/>
      <w:pPr>
        <w:tabs>
          <w:tab w:val="num" w:pos="648"/>
        </w:tabs>
        <w:ind w:left="648" w:hanging="648"/>
      </w:pPr>
      <w:rPr>
        <w:b w:val="false"/>
        <w:bCs w:val="false"/>
      </w:rPr>
    </w:lvl>
    <w:lvl w:ilvl="1">
      <w:start w:val="1"/>
      <w:numFmt w:val="lowerLetter"/>
      <w:lvlText w:val="(%2)"/>
      <w:lvlJc w:val="left"/>
      <w:pPr>
        <w:tabs>
          <w:tab w:val="num" w:pos="1080"/>
        </w:tabs>
        <w:ind w:left="1080" w:hanging="432"/>
      </w:pPr>
      <w:rPr>
        <w:b w:val="false"/>
        <w:bCs w:val="fals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lvl w:ilvl="0">
      <w:start w:val="1"/>
      <w:numFmt w:val="decimal"/>
      <w:lvlText w:val="56.%1"/>
      <w:lvlJc w:val="left"/>
      <w:pPr>
        <w:tabs>
          <w:tab w:val="num" w:pos="648"/>
        </w:tabs>
        <w:ind w:left="648" w:hanging="648"/>
      </w:pPr>
      <w:rPr>
        <w:sz w:val="22"/>
        <w:i w:val="false"/>
        <w:b w:val="false"/>
        <w:bCs w:val="false"/>
        <w:color w:val="auto"/>
      </w:rPr>
    </w:lvl>
    <w:lvl w:ilvl="1">
      <w:start w:val="1"/>
      <w:numFmt w:val="lowerLetter"/>
      <w:lvlText w:val="(%2)"/>
      <w:lvlJc w:val="left"/>
      <w:pPr>
        <w:tabs>
          <w:tab w:val="num" w:pos="1224"/>
        </w:tabs>
        <w:ind w:left="1224" w:hanging="576"/>
      </w:pPr>
      <w:rPr>
        <w:sz w:val="22"/>
        <w:i w:val="false"/>
        <w:b w:val="false"/>
        <w:szCs w:val="22"/>
        <w:rFonts w:ascii="Arial" w:hAnsi="Aria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lvl w:ilvl="0">
      <w:start w:val="1"/>
      <w:numFmt w:val="decimal"/>
      <w:lvlText w:val="58.%1"/>
      <w:lvlJc w:val="left"/>
      <w:pPr>
        <w:tabs>
          <w:tab w:val="num" w:pos="576"/>
        </w:tabs>
        <w:ind w:left="576" w:hanging="576"/>
      </w:pPr>
      <w:rPr>
        <w:sz w:val="22"/>
        <w:szCs w:val="22"/>
      </w:rPr>
    </w:lvl>
    <w:lvl w:ilvl="1">
      <w:start w:val="1"/>
      <w:numFmt w:val="lowerLetter"/>
      <w:lvlText w:val="(%2)"/>
      <w:lvlJc w:val="left"/>
      <w:pPr>
        <w:tabs>
          <w:tab w:val="num" w:pos="1728"/>
        </w:tabs>
        <w:ind w:left="1728" w:hanging="648"/>
      </w:pPr>
      <w:rPr>
        <w:sz w:val="22"/>
        <w:i w:val="false"/>
        <w:b w:val="false"/>
        <w:szCs w:val="22"/>
        <w:bCs w:val="false"/>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lvl w:ilvl="0">
      <w:start w:val="1"/>
      <w:numFmt w:val="decimal"/>
      <w:lvlText w:val="63.%1"/>
      <w:lvlJc w:val="left"/>
      <w:pPr>
        <w:tabs>
          <w:tab w:val="num" w:pos="576"/>
        </w:tabs>
        <w:ind w:left="576" w:hanging="576"/>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lvl w:ilvl="0">
      <w:start w:val="1"/>
      <w:numFmt w:val="decimal"/>
      <w:lvlText w:val="65.%1"/>
      <w:lvlJc w:val="left"/>
      <w:pPr>
        <w:tabs>
          <w:tab w:val="num" w:pos="576"/>
        </w:tabs>
        <w:ind w:left="576" w:hanging="576"/>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lvl w:ilvl="0">
      <w:start w:val="1"/>
      <w:numFmt w:val="decimal"/>
      <w:lvlText w:val="68.%1"/>
      <w:lvlJc w:val="left"/>
      <w:pPr>
        <w:tabs>
          <w:tab w:val="num" w:pos="648"/>
        </w:tabs>
        <w:ind w:left="648" w:hanging="576"/>
      </w:pPr>
    </w:lvl>
    <w:lvl w:ilvl="1">
      <w:start w:val="1"/>
      <w:numFmt w:val="decimal"/>
      <w:lvlText w:val="69.%2"/>
      <w:lvlJc w:val="left"/>
      <w:pPr>
        <w:tabs>
          <w:tab w:val="num" w:pos="1656"/>
        </w:tabs>
        <w:ind w:left="1656" w:hanging="576"/>
      </w:pPr>
    </w:lvl>
    <w:lvl w:ilvl="2">
      <w:start w:val="1"/>
      <w:numFmt w:val="decimal"/>
      <w:lvlText w:val="7%1.%3"/>
      <w:lvlJc w:val="left"/>
      <w:pPr>
        <w:tabs>
          <w:tab w:val="num" w:pos="2556"/>
        </w:tabs>
        <w:ind w:left="2556" w:hanging="576"/>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lvl w:ilvl="0">
      <w:start w:val="1"/>
      <w:numFmt w:val="decimal"/>
      <w:lvlText w:val="73.%1"/>
      <w:lvlJc w:val="left"/>
      <w:pPr>
        <w:tabs>
          <w:tab w:val="num" w:pos="3168"/>
        </w:tabs>
        <w:ind w:left="3168" w:hanging="648"/>
      </w:pPr>
      <w:rPr>
        <w:sz w:val="22"/>
        <w:i w:val="false"/>
        <w:b w:val="false"/>
        <w:bCs w:val="false"/>
        <w:color w:val="auto"/>
      </w:rPr>
    </w:lvl>
    <w:lvl w:ilvl="1">
      <w:start w:val="1"/>
      <w:numFmt w:val="decimal"/>
      <w:lvlText w:val="74.%2"/>
      <w:lvlJc w:val="left"/>
      <w:pPr>
        <w:tabs>
          <w:tab w:val="num" w:pos="1728"/>
        </w:tabs>
        <w:ind w:left="1728" w:hanging="648"/>
      </w:pPr>
      <w:rPr>
        <w:sz w:val="22"/>
        <w:i w:val="false"/>
        <w:b w:val="false"/>
        <w:bCs w:val="false"/>
        <w:color w:val="auto"/>
      </w:rPr>
    </w:lvl>
    <w:lvl w:ilvl="2">
      <w:start w:val="1"/>
      <w:numFmt w:val="lowerLetter"/>
      <w:lvlText w:val="(%3)"/>
      <w:lvlJc w:val="left"/>
      <w:pPr>
        <w:tabs>
          <w:tab w:val="num" w:pos="2628"/>
        </w:tabs>
        <w:ind w:left="2628" w:hanging="648"/>
      </w:pPr>
      <w:rPr>
        <w:sz w:val="22"/>
        <w:i w:val="false"/>
        <w:b w:val="false"/>
        <w:szCs w:val="22"/>
        <w:bCs w:val="false"/>
        <w:rFonts w:ascii="Arial" w:hAnsi="Arial"/>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lvl w:ilvl="0">
      <w:start w:val="1"/>
      <w:numFmt w:val="decimal"/>
      <w:lvlText w:val="26.%1"/>
      <w:lvlJc w:val="left"/>
      <w:pPr>
        <w:tabs>
          <w:tab w:val="num" w:pos="648"/>
        </w:tabs>
        <w:ind w:left="648" w:hanging="648"/>
      </w:pPr>
      <w:rPr>
        <w:sz w:val="22"/>
        <w:i w:val="false"/>
        <w:b w:val="false"/>
        <w:bCs w:val="false"/>
        <w:color w:val="auto"/>
      </w:rPr>
    </w:lvl>
    <w:lvl w:ilvl="1">
      <w:start w:val="1"/>
      <w:numFmt w:val="lowerLetter"/>
      <w:lvlText w:val="(%2)"/>
      <w:lvlJc w:val="left"/>
      <w:pPr>
        <w:tabs>
          <w:tab w:val="num" w:pos="1440"/>
        </w:tabs>
        <w:ind w:left="1440" w:hanging="360"/>
      </w:pPr>
      <w:rPr>
        <w:sz w:val="22"/>
        <w:i w:val="false"/>
        <w:b w:val="false"/>
        <w:bCs w:val="false"/>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0">
    <w:lvl w:ilvl="0">
      <w:start w:val="1"/>
      <w:numFmt w:val="lowerLetter"/>
      <w:lvlText w:val="(%1)"/>
      <w:lvlJc w:val="left"/>
      <w:pPr>
        <w:tabs>
          <w:tab w:val="num" w:pos="1296"/>
        </w:tabs>
        <w:ind w:left="1296" w:hanging="648"/>
      </w:pPr>
      <w:rPr>
        <w:sz w:val="22"/>
        <w:i w:val="false"/>
        <w:b w:val="false"/>
        <w:bCs w:val="false"/>
        <w:color w:val="auto"/>
      </w:rPr>
    </w:lvl>
    <w:lvl w:ilvl="1">
      <w:start w:val="1"/>
      <w:numFmt w:val="lowerLetter"/>
      <w:lvlText w:val="%2."/>
      <w:lvlJc w:val="left"/>
      <w:pPr>
        <w:tabs>
          <w:tab w:val="num" w:pos="2088"/>
        </w:tabs>
        <w:ind w:left="2088" w:hanging="360"/>
      </w:pPr>
    </w:lvl>
    <w:lvl w:ilvl="2">
      <w:start w:val="1"/>
      <w:numFmt w:val="lowerRoman"/>
      <w:lvlText w:val="%3."/>
      <w:lvlJc w:val="right"/>
      <w:pPr>
        <w:tabs>
          <w:tab w:val="num" w:pos="2808"/>
        </w:tabs>
        <w:ind w:left="2808" w:hanging="180"/>
      </w:pPr>
    </w:lvl>
    <w:lvl w:ilvl="3">
      <w:start w:val="1"/>
      <w:numFmt w:val="decimal"/>
      <w:lvlText w:val="%4."/>
      <w:lvlJc w:val="left"/>
      <w:pPr>
        <w:tabs>
          <w:tab w:val="num" w:pos="3528"/>
        </w:tabs>
        <w:ind w:left="3528" w:hanging="360"/>
      </w:pPr>
    </w:lvl>
    <w:lvl w:ilvl="4">
      <w:start w:val="1"/>
      <w:numFmt w:val="lowerLetter"/>
      <w:lvlText w:val="%5."/>
      <w:lvlJc w:val="left"/>
      <w:pPr>
        <w:tabs>
          <w:tab w:val="num" w:pos="4248"/>
        </w:tabs>
        <w:ind w:left="4248" w:hanging="360"/>
      </w:pPr>
    </w:lvl>
    <w:lvl w:ilvl="5">
      <w:start w:val="1"/>
      <w:numFmt w:val="lowerRoman"/>
      <w:lvlText w:val="%6."/>
      <w:lvlJc w:val="right"/>
      <w:pPr>
        <w:tabs>
          <w:tab w:val="num" w:pos="4968"/>
        </w:tabs>
        <w:ind w:left="4968" w:hanging="180"/>
      </w:pPr>
    </w:lvl>
    <w:lvl w:ilvl="6">
      <w:start w:val="1"/>
      <w:numFmt w:val="decimal"/>
      <w:lvlText w:val="%7."/>
      <w:lvlJc w:val="left"/>
      <w:pPr>
        <w:tabs>
          <w:tab w:val="num" w:pos="5688"/>
        </w:tabs>
        <w:ind w:left="5688" w:hanging="360"/>
      </w:pPr>
    </w:lvl>
    <w:lvl w:ilvl="7">
      <w:start w:val="1"/>
      <w:numFmt w:val="lowerLetter"/>
      <w:lvlText w:val="%8."/>
      <w:lvlJc w:val="left"/>
      <w:pPr>
        <w:tabs>
          <w:tab w:val="num" w:pos="6408"/>
        </w:tabs>
        <w:ind w:left="6408" w:hanging="360"/>
      </w:pPr>
    </w:lvl>
    <w:lvl w:ilvl="8">
      <w:start w:val="1"/>
      <w:numFmt w:val="lowerRoman"/>
      <w:lvlText w:val="%9."/>
      <w:lvlJc w:val="right"/>
      <w:pPr>
        <w:tabs>
          <w:tab w:val="num" w:pos="7128"/>
        </w:tabs>
        <w:ind w:left="7128" w:hanging="180"/>
      </w:pPr>
    </w:lvl>
  </w:abstractNum>
  <w:abstractNum w:abstractNumId="11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Roman"/>
      <w:lvlText w:val="%4."/>
      <w:lvlJc w:val="righ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2">
    <w:lvl w:ilvl="0">
      <w:start w:val="1"/>
      <w:numFmt w:val="decimal"/>
      <w:lvlText w:val="2.%1"/>
      <w:lvlJc w:val="left"/>
      <w:pPr>
        <w:tabs>
          <w:tab w:val="num" w:pos="720"/>
        </w:tabs>
        <w:ind w:left="720" w:hanging="360"/>
      </w:pPr>
      <w:rPr>
        <w:sz w:val="22"/>
        <w:i w:val="false"/>
        <w:b w:val="false"/>
        <w:szCs w:val="22"/>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lvl w:ilvl="0">
      <w:start w:val="1"/>
      <w:numFmt w:val="decimal"/>
      <w:lvlText w:val="3.%1"/>
      <w:lvlJc w:val="left"/>
      <w:pPr>
        <w:tabs>
          <w:tab w:val="num" w:pos="720"/>
        </w:tabs>
        <w:ind w:left="720" w:hanging="360"/>
      </w:pPr>
      <w:rPr>
        <w:sz w:val="22"/>
        <w:i w:val="false"/>
        <w:b w:val="false"/>
        <w:szCs w:val="22"/>
        <w:bCs w:val="false"/>
        <w:color w:val="auto"/>
      </w:rPr>
    </w:lvl>
    <w:lvl w:ilvl="1">
      <w:start w:val="1"/>
      <w:numFmt w:val="decimal"/>
      <w:lvlText w:val="4.%2"/>
      <w:lvlJc w:val="left"/>
      <w:pPr>
        <w:tabs>
          <w:tab w:val="num" w:pos="1440"/>
        </w:tabs>
        <w:ind w:left="1440" w:hanging="360"/>
      </w:pPr>
      <w:rPr>
        <w:sz w:val="22"/>
        <w:i w:val="false"/>
        <w:b w:val="false"/>
        <w:szCs w:val="22"/>
        <w:bCs w:val="false"/>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lvl w:ilvl="0">
      <w:start w:val="1"/>
      <w:numFmt w:val="decimal"/>
      <w:lvlText w:val="5.%1"/>
      <w:lvlJc w:val="left"/>
      <w:pPr>
        <w:tabs>
          <w:tab w:val="num" w:pos="1440"/>
        </w:tabs>
        <w:ind w:left="1440" w:hanging="360"/>
      </w:pPr>
      <w:rPr>
        <w:sz w:val="22"/>
        <w:i w:val="false"/>
        <w:b w:val="false"/>
        <w:szCs w:val="22"/>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lvl w:ilvl="0">
      <w:start w:val="1"/>
      <w:numFmt w:val="decimal"/>
      <w:lvlText w:val="7.%1"/>
      <w:lvlJc w:val="left"/>
      <w:pPr>
        <w:tabs>
          <w:tab w:val="num" w:pos="720"/>
        </w:tabs>
        <w:ind w:left="720" w:hanging="360"/>
      </w:pPr>
      <w:rPr>
        <w:sz w:val="22"/>
        <w:i w:val="false"/>
        <w:b w:val="false"/>
        <w:szCs w:val="22"/>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lvl w:ilvl="0">
      <w:start w:val="1"/>
      <w:numFmt w:val="decimal"/>
      <w:lvlText w:val="9.%1"/>
      <w:lvlJc w:val="left"/>
      <w:pPr>
        <w:tabs>
          <w:tab w:val="num" w:pos="1449"/>
        </w:tabs>
        <w:ind w:left="1449" w:hanging="360"/>
      </w:pPr>
      <w:rPr>
        <w:sz w:val="22"/>
        <w:i w:val="false"/>
        <w:b w:val="false"/>
        <w:szCs w:val="22"/>
        <w:bCs w:val="false"/>
        <w:color w:val="auto"/>
      </w:rPr>
    </w:lvl>
    <w:lvl w:ilvl="1">
      <w:start w:val="1"/>
      <w:numFmt w:val="decimal"/>
      <w:lvlText w:val="%2%1.1"/>
      <w:lvlJc w:val="left"/>
      <w:pPr>
        <w:tabs>
          <w:tab w:val="num" w:pos="1440"/>
        </w:tabs>
        <w:ind w:left="1440" w:hanging="360"/>
      </w:pPr>
      <w:rPr>
        <w:sz w:val="22"/>
        <w:i w:val="false"/>
        <w:b w:val="false"/>
        <w:szCs w:val="22"/>
        <w:bCs w:val="false"/>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lvl w:ilvl="0">
      <w:start w:val="1"/>
      <w:numFmt w:val="decimal"/>
      <w:lvlText w:val="11.%1"/>
      <w:lvlJc w:val="left"/>
      <w:pPr>
        <w:tabs>
          <w:tab w:val="num" w:pos="662"/>
        </w:tabs>
        <w:ind w:left="662" w:hanging="648"/>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lvl w:ilvl="0">
      <w:start w:val="1"/>
      <w:numFmt w:val="decimal"/>
      <w:lvlText w:val="12.%1"/>
      <w:lvlJc w:val="left"/>
      <w:pPr>
        <w:tabs>
          <w:tab w:val="num" w:pos="662"/>
        </w:tabs>
        <w:ind w:left="662" w:hanging="648"/>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lvl w:ilvl="0">
      <w:start w:val="1"/>
      <w:numFmt w:val="decimal"/>
      <w:lvlText w:val="13.%1"/>
      <w:lvlJc w:val="left"/>
      <w:pPr>
        <w:tabs>
          <w:tab w:val="num" w:pos="671"/>
        </w:tabs>
        <w:ind w:left="671" w:hanging="648"/>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lvl w:ilvl="0">
      <w:start w:val="1"/>
      <w:numFmt w:val="decimal"/>
      <w:lvlText w:val="14.%1"/>
      <w:lvlJc w:val="left"/>
      <w:pPr>
        <w:tabs>
          <w:tab w:val="num" w:pos="671"/>
        </w:tabs>
        <w:ind w:left="671" w:hanging="648"/>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lvl w:ilvl="0">
      <w:start w:val="1"/>
      <w:numFmt w:val="decimal"/>
      <w:lvlText w:val="15.%1"/>
      <w:lvlJc w:val="left"/>
      <w:pPr>
        <w:tabs>
          <w:tab w:val="num" w:pos="671"/>
        </w:tabs>
        <w:ind w:left="671" w:hanging="648"/>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2">
    <w:lvl w:ilvl="0">
      <w:start w:val="1"/>
      <w:numFmt w:val="decimal"/>
      <w:lvlText w:val="18.%1"/>
      <w:lvlJc w:val="left"/>
      <w:pPr>
        <w:tabs>
          <w:tab w:val="num" w:pos="936"/>
        </w:tabs>
        <w:ind w:left="936" w:hanging="648"/>
      </w:pPr>
    </w:lvl>
    <w:lvl w:ilvl="1">
      <w:start w:val="1"/>
      <w:numFmt w:val="lowerLetter"/>
      <w:lvlText w:val="%2."/>
      <w:lvlJc w:val="left"/>
      <w:pPr>
        <w:tabs>
          <w:tab w:val="num" w:pos="1368"/>
        </w:tabs>
        <w:ind w:left="1368" w:hanging="360"/>
      </w:pPr>
    </w:lvl>
    <w:lvl w:ilvl="2">
      <w:start w:val="1"/>
      <w:numFmt w:val="lowerRoman"/>
      <w:lvlText w:val="%3."/>
      <w:lvlJc w:val="right"/>
      <w:pPr>
        <w:tabs>
          <w:tab w:val="num" w:pos="2088"/>
        </w:tabs>
        <w:ind w:left="2088" w:hanging="180"/>
      </w:pPr>
    </w:lvl>
    <w:lvl w:ilvl="3">
      <w:start w:val="1"/>
      <w:numFmt w:val="decimal"/>
      <w:lvlText w:val="%4."/>
      <w:lvlJc w:val="left"/>
      <w:pPr>
        <w:tabs>
          <w:tab w:val="num" w:pos="2808"/>
        </w:tabs>
        <w:ind w:left="2808" w:hanging="360"/>
      </w:pPr>
    </w:lvl>
    <w:lvl w:ilvl="4">
      <w:start w:val="1"/>
      <w:numFmt w:val="lowerLetter"/>
      <w:lvlText w:val="%5."/>
      <w:lvlJc w:val="left"/>
      <w:pPr>
        <w:tabs>
          <w:tab w:val="num" w:pos="3528"/>
        </w:tabs>
        <w:ind w:left="3528" w:hanging="360"/>
      </w:pPr>
    </w:lvl>
    <w:lvl w:ilvl="5">
      <w:start w:val="1"/>
      <w:numFmt w:val="lowerRoman"/>
      <w:lvlText w:val="%6."/>
      <w:lvlJc w:val="right"/>
      <w:pPr>
        <w:tabs>
          <w:tab w:val="num" w:pos="4248"/>
        </w:tabs>
        <w:ind w:left="4248" w:hanging="180"/>
      </w:pPr>
    </w:lvl>
    <w:lvl w:ilvl="6">
      <w:start w:val="1"/>
      <w:numFmt w:val="decimal"/>
      <w:lvlText w:val="%7."/>
      <w:lvlJc w:val="left"/>
      <w:pPr>
        <w:tabs>
          <w:tab w:val="num" w:pos="4968"/>
        </w:tabs>
        <w:ind w:left="4968" w:hanging="360"/>
      </w:pPr>
    </w:lvl>
    <w:lvl w:ilvl="7">
      <w:start w:val="1"/>
      <w:numFmt w:val="lowerLetter"/>
      <w:lvlText w:val="%8."/>
      <w:lvlJc w:val="left"/>
      <w:pPr>
        <w:tabs>
          <w:tab w:val="num" w:pos="5688"/>
        </w:tabs>
        <w:ind w:left="5688" w:hanging="360"/>
      </w:pPr>
    </w:lvl>
    <w:lvl w:ilvl="8">
      <w:start w:val="1"/>
      <w:numFmt w:val="lowerRoman"/>
      <w:lvlText w:val="%9."/>
      <w:lvlJc w:val="right"/>
      <w:pPr>
        <w:tabs>
          <w:tab w:val="num" w:pos="6408"/>
        </w:tabs>
        <w:ind w:left="6408" w:hanging="180"/>
      </w:pPr>
    </w:lvl>
  </w:abstractNum>
  <w:abstractNum w:abstractNumId="123">
    <w:lvl w:ilvl="0">
      <w:start w:val="1"/>
      <w:numFmt w:val="decimal"/>
      <w:lvlText w:val="2%1.0"/>
      <w:lvlJc w:val="left"/>
      <w:pPr>
        <w:tabs>
          <w:tab w:val="num" w:pos="1008"/>
        </w:tabs>
        <w:ind w:left="1008" w:hanging="648"/>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4">
    <w:lvl w:ilvl="0">
      <w:start w:val="1"/>
      <w:numFmt w:val="decimal"/>
      <w:lvlText w:val="21.%1"/>
      <w:lvlJc w:val="left"/>
      <w:pPr>
        <w:tabs>
          <w:tab w:val="num" w:pos="1008"/>
        </w:tabs>
        <w:ind w:left="1008" w:hanging="648"/>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lvl w:ilvl="0">
      <w:start w:val="1"/>
      <w:numFmt w:val="decimal"/>
      <w:lvlText w:val="22.%1"/>
      <w:lvlJc w:val="left"/>
      <w:pPr>
        <w:tabs>
          <w:tab w:val="num" w:pos="1008"/>
        </w:tabs>
        <w:ind w:left="1008" w:hanging="648"/>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lvl w:ilvl="0">
      <w:start w:val="1"/>
      <w:numFmt w:val="decimal"/>
      <w:lvlText w:val="23.%1"/>
      <w:lvlJc w:val="left"/>
      <w:pPr>
        <w:tabs>
          <w:tab w:val="num" w:pos="1008"/>
        </w:tabs>
        <w:ind w:left="1008" w:hanging="648"/>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lvl w:ilvl="0">
      <w:start w:val="5"/>
      <w:numFmt w:val="decimal"/>
      <w:lvlText w:val="28.%1"/>
      <w:lvlJc w:val="left"/>
      <w:pPr>
        <w:tabs>
          <w:tab w:val="num" w:pos="540"/>
        </w:tabs>
        <w:ind w:left="540" w:hanging="360"/>
      </w:pPr>
      <w:rPr>
        <w:sz w:val="22"/>
        <w:i w:val="false"/>
        <w:b w:val="false"/>
        <w:szCs w:val="22"/>
        <w:bCs w:val="false"/>
        <w:rFonts w:ascii="Arial" w:hAnsi="Arial" w:cs="Arial"/>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lvl w:ilvl="0">
      <w:start w:val="1"/>
      <w:numFmt w:val="decimal"/>
      <w:lvlText w:val="31.%1"/>
      <w:lvlJc w:val="left"/>
      <w:pPr>
        <w:tabs>
          <w:tab w:val="num" w:pos="720"/>
        </w:tabs>
        <w:ind w:left="720" w:hanging="360"/>
      </w:pPr>
      <w:rPr>
        <w:sz w:val="22"/>
        <w:i w:val="false"/>
        <w:b w:val="false"/>
        <w:szCs w:val="22"/>
        <w:bCs w:val="false"/>
        <w:color w:val="auto"/>
      </w:rPr>
    </w:lvl>
    <w:lvl w:ilvl="1">
      <w:start w:val="5"/>
      <w:numFmt w:val="decimal"/>
      <w:lvlText w:val="3%2.1"/>
      <w:lvlJc w:val="left"/>
      <w:pPr>
        <w:tabs>
          <w:tab w:val="num" w:pos="1728"/>
        </w:tabs>
        <w:ind w:left="1728" w:hanging="648"/>
      </w:pPr>
      <w:rPr>
        <w:sz w:val="22"/>
        <w:i w:val="false"/>
        <w:b w:val="false"/>
        <w:szCs w:val="22"/>
        <w:bCs w:val="false"/>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lvl w:ilvl="0">
      <w:start w:val="1"/>
      <w:numFmt w:val="decimal"/>
      <w:lvlText w:val="33.%1"/>
      <w:lvlJc w:val="left"/>
      <w:pPr>
        <w:tabs>
          <w:tab w:val="num" w:pos="648"/>
        </w:tabs>
        <w:ind w:left="648" w:hanging="648"/>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lvl w:ilvl="0">
      <w:start w:val="1"/>
      <w:numFmt w:val="decimal"/>
      <w:lvlText w:val="34.%1"/>
      <w:lvlJc w:val="left"/>
      <w:pPr>
        <w:tabs>
          <w:tab w:val="num" w:pos="1449"/>
        </w:tabs>
        <w:ind w:left="1449" w:hanging="360"/>
      </w:pPr>
      <w:rPr>
        <w:sz w:val="22"/>
        <w:i w:val="false"/>
        <w:b w:val="false"/>
        <w:szCs w:val="22"/>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lvl w:ilvl="0">
      <w:start w:val="1"/>
      <w:numFmt w:val="decimal"/>
      <w:lvlText w:val="35.%1"/>
      <w:lvlJc w:val="left"/>
      <w:pPr>
        <w:tabs>
          <w:tab w:val="num" w:pos="648"/>
        </w:tabs>
        <w:ind w:left="648" w:hanging="648"/>
      </w:pPr>
      <w:rPr>
        <w:sz w:val="22"/>
        <w:szCs w:val="22"/>
      </w:rPr>
    </w:lvl>
    <w:lvl w:ilvl="1">
      <w:start w:val="1"/>
      <w:numFmt w:val="decimal"/>
      <w:lvlText w:val="36.%2"/>
      <w:lvlJc w:val="left"/>
      <w:pPr>
        <w:tabs>
          <w:tab w:val="num" w:pos="1440"/>
        </w:tabs>
        <w:ind w:left="1440" w:hanging="360"/>
      </w:pPr>
      <w:rPr>
        <w:sz w:val="22"/>
        <w:i w:val="false"/>
        <w:b w:val="false"/>
        <w:szCs w:val="22"/>
        <w:bCs w:val="false"/>
        <w:color w:val="auto"/>
      </w:rPr>
    </w:lvl>
    <w:lvl w:ilvl="2">
      <w:start w:val="1"/>
      <w:numFmt w:val="lowerRoman"/>
      <w:lvlText w:val="(%3)"/>
      <w:lvlJc w:val="left"/>
      <w:pPr>
        <w:tabs>
          <w:tab w:val="num" w:pos="2304"/>
        </w:tabs>
        <w:ind w:left="2340" w:hanging="360"/>
      </w:pPr>
      <w:rPr>
        <w:sz w:val="22"/>
        <w:szCs w:val="22"/>
        <w:rFonts w:ascii="Arial" w:hAnsi="Arial" w:cs="Aria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lvl w:ilvl="0">
      <w:start w:val="1"/>
      <w:numFmt w:val="decimal"/>
      <w:lvlText w:val="37.%1"/>
      <w:lvlJc w:val="left"/>
      <w:pPr>
        <w:tabs>
          <w:tab w:val="num" w:pos="1454"/>
        </w:tabs>
        <w:ind w:left="1454" w:hanging="360"/>
      </w:pPr>
      <w:rPr>
        <w:sz w:val="22"/>
        <w:i w:val="false"/>
        <w:b w:val="false"/>
        <w:szCs w:val="22"/>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lvl w:ilvl="0">
      <w:start w:val="1"/>
      <w:numFmt w:val="decimal"/>
      <w:lvlText w:val="39.%1"/>
      <w:lvlJc w:val="left"/>
      <w:pPr>
        <w:tabs>
          <w:tab w:val="num" w:pos="648"/>
        </w:tabs>
        <w:ind w:left="648" w:hanging="648"/>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lvl w:ilvl="0">
      <w:start w:val="1"/>
      <w:numFmt w:val="decimal"/>
      <w:lvlText w:val="4%1.0"/>
      <w:lvlJc w:val="left"/>
      <w:pPr>
        <w:tabs>
          <w:tab w:val="num" w:pos="1440"/>
        </w:tabs>
        <w:ind w:left="1440" w:hanging="360"/>
      </w:pPr>
      <w:rPr>
        <w:sz w:val="22"/>
        <w:i w:val="false"/>
        <w:b w:val="false"/>
        <w:szCs w:val="22"/>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lvl w:ilvl="0">
      <w:start w:val="3"/>
      <w:numFmt w:val="decimal"/>
      <w:lvlText w:val="4%1.0"/>
      <w:lvlJc w:val="left"/>
      <w:pPr>
        <w:tabs>
          <w:tab w:val="num" w:pos="1440"/>
        </w:tabs>
        <w:ind w:left="1440" w:hanging="360"/>
      </w:pPr>
      <w:rPr>
        <w:sz w:val="22"/>
        <w:i w:val="false"/>
        <w:b w:val="false"/>
        <w:szCs w:val="22"/>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lvl w:ilvl="0">
      <w:start w:val="4"/>
      <w:numFmt w:val="decimal"/>
      <w:lvlText w:val="4%1.0"/>
      <w:lvlJc w:val="left"/>
      <w:pPr>
        <w:tabs>
          <w:tab w:val="num" w:pos="1440"/>
        </w:tabs>
        <w:ind w:left="1440" w:hanging="360"/>
      </w:pPr>
      <w:rPr>
        <w:sz w:val="22"/>
        <w:i w:val="false"/>
        <w:b w:val="false"/>
        <w:szCs w:val="22"/>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7">
    <w:lvl w:ilvl="0">
      <w:start w:val="1"/>
      <w:numFmt w:val="decimal"/>
      <w:lvlText w:val="71.%1"/>
      <w:lvlJc w:val="left"/>
      <w:pPr>
        <w:tabs>
          <w:tab w:val="num" w:pos="2556"/>
        </w:tabs>
        <w:ind w:left="2556" w:hanging="576"/>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8">
    <w:lvl w:ilvl="0">
      <w:start w:val="1"/>
      <w:numFmt w:val="decimal"/>
      <w:lvlText w:val="22.%1"/>
      <w:lvlJc w:val="left"/>
      <w:pPr>
        <w:tabs>
          <w:tab w:val="num" w:pos="662"/>
        </w:tabs>
        <w:ind w:left="662" w:hanging="648"/>
      </w:pPr>
      <w:rPr>
        <w:sz w:val="22"/>
        <w:i w:val="false"/>
        <w:b w:val="false"/>
        <w:szCs w:val="22"/>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9">
    <w:lvl w:ilvl="0">
      <w:start w:val="1"/>
      <w:numFmt w:val="decimal"/>
      <w:lvlText w:val="28.%1"/>
      <w:lvlJc w:val="left"/>
      <w:pPr>
        <w:tabs>
          <w:tab w:val="num" w:pos="360"/>
        </w:tabs>
        <w:ind w:left="36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0">
    <w:lvl w:ilvl="0">
      <w:start w:val="1"/>
      <w:numFmt w:val="decimal"/>
      <w:lvlText w:val="29.%1"/>
      <w:lvlJc w:val="left"/>
      <w:pPr>
        <w:tabs>
          <w:tab w:val="num" w:pos="360"/>
        </w:tabs>
        <w:ind w:left="36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1">
    <w:lvl w:ilvl="0">
      <w:start w:val="1"/>
      <w:numFmt w:val="decimal"/>
      <w:lvlText w:val="37.%1"/>
      <w:lvlJc w:val="left"/>
      <w:pPr>
        <w:tabs>
          <w:tab w:val="num" w:pos="360"/>
        </w:tabs>
        <w:ind w:left="36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2">
    <w:lvl w:ilvl="0">
      <w:start w:val="1"/>
      <w:numFmt w:val="decimal"/>
      <w:lvlText w:val="39.%1"/>
      <w:lvlJc w:val="left"/>
      <w:pPr>
        <w:tabs>
          <w:tab w:val="num" w:pos="360"/>
        </w:tabs>
        <w:ind w:left="36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3">
    <w:lvl w:ilvl="0">
      <w:start w:val="1"/>
      <w:numFmt w:val="decimal"/>
      <w:lvlText w:val="42.%1"/>
      <w:lvlJc w:val="left"/>
      <w:pPr>
        <w:tabs>
          <w:tab w:val="num" w:pos="360"/>
        </w:tabs>
        <w:ind w:left="36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4">
    <w:lvl w:ilvl="0">
      <w:start w:val="1"/>
      <w:numFmt w:val="decimal"/>
      <w:lvlText w:val="44.%1"/>
      <w:lvlJc w:val="left"/>
      <w:pPr>
        <w:tabs>
          <w:tab w:val="num" w:pos="360"/>
        </w:tabs>
        <w:ind w:left="36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5">
    <w:lvl w:ilvl="0">
      <w:start w:val="1"/>
      <w:numFmt w:val="decimal"/>
      <w:lvlText w:val="5%1.0"/>
      <w:lvlJc w:val="left"/>
      <w:pPr>
        <w:tabs>
          <w:tab w:val="num" w:pos="360"/>
        </w:tabs>
        <w:ind w:left="360" w:hanging="360"/>
      </w:pPr>
      <w:rPr>
        <w:sz w:val="22"/>
        <w:i w:val="false"/>
        <w:b w:val="false"/>
        <w:bCs w:val="false"/>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6">
    <w:lvl w:ilvl="0">
      <w:start w:val="1"/>
      <w:numFmt w:val="decimal"/>
      <w:lvlText w:val="52.%1"/>
      <w:lvlJc w:val="left"/>
      <w:pPr>
        <w:tabs>
          <w:tab w:val="num" w:pos="324"/>
        </w:tabs>
        <w:ind w:left="360" w:hanging="360"/>
      </w:pPr>
      <w:rPr>
        <w:rFonts w:ascii="Arial"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7">
    <w:lvl w:ilvl="0">
      <w:start w:val="1"/>
      <w:numFmt w:val="decimal"/>
      <w:lvlText w:val="59.%1"/>
      <w:lvlJc w:val="left"/>
      <w:pPr>
        <w:tabs>
          <w:tab w:val="num" w:pos="576"/>
        </w:tabs>
        <w:ind w:left="576" w:hanging="576"/>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8">
    <w:lvl w:ilvl="0">
      <w:start w:val="1"/>
      <w:numFmt w:val="decimal"/>
      <w:lvlText w:val="6%1.0"/>
      <w:lvlJc w:val="left"/>
      <w:pPr>
        <w:tabs>
          <w:tab w:val="num" w:pos="756"/>
        </w:tabs>
        <w:ind w:left="756" w:hanging="576"/>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0">
    <w:lvl w:ilvl="0">
      <w:start w:val="1"/>
      <w:numFmt w:val="decimal"/>
      <w:lvlText w:val="54.%1"/>
      <w:lvlJc w:val="left"/>
      <w:pPr>
        <w:tabs>
          <w:tab w:val="num" w:pos="324"/>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1">
    <w:lvl w:ilvl="0">
      <w:start w:val="1"/>
      <w:numFmt w:val="decimal"/>
      <w:lvlText w:val="55.%1"/>
      <w:lvlJc w:val="left"/>
      <w:pPr>
        <w:tabs>
          <w:tab w:val="num" w:pos="324"/>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2">
    <w:lvl w:ilvl="0">
      <w:start w:val="1"/>
      <w:numFmt w:val="decimal"/>
      <w:lvlText w:val="67.%1"/>
      <w:lvlJc w:val="left"/>
      <w:pPr>
        <w:tabs>
          <w:tab w:val="num" w:pos="576"/>
        </w:tabs>
        <w:ind w:left="576" w:hanging="576"/>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3">
    <w:lvl w:ilvl="0">
      <w:start w:val="1"/>
      <w:numFmt w:val="lowerRoman"/>
      <w:lvlText w:val="(%1)"/>
      <w:lvlJc w:val="left"/>
      <w:pPr>
        <w:tabs>
          <w:tab w:val="num" w:pos="2160"/>
        </w:tabs>
        <w:ind w:left="2160" w:hanging="72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3"/>
    <w:lvlOverride w:ilvl="2">
      <w:startOverride w:val="1"/>
    </w:lvlOverride>
  </w:num>
  <w:num w:numId="156">
    <w:abstractNumId w:val="153"/>
  </w:num>
  <w:num w:numId="157">
    <w:abstractNumId w:val="153"/>
  </w:num>
</w:numbering>
</file>

<file path=word/settings.xml><?xml version="1.0" encoding="utf-8"?>
<w:settings xmlns:w="http://schemas.openxmlformats.org/wordprocessingml/2006/main">
  <w:zoom w:percent="200"/>
  <w:autoHyphenation w:val="true"/>
  <w:compat>
    <w:compatSetting w:name="compatibilityMode" w:uri="http://schemas.microsoft.com/office/word" w:val="12"/>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ae78ef"/>
    <w:pPr>
      <w:widowControl/>
      <w:suppressAutoHyphens w:val="true"/>
      <w:bidi w:val="0"/>
      <w:spacing w:before="0" w:after="0"/>
      <w:jc w:val="left"/>
    </w:pPr>
    <w:rPr>
      <w:rFonts w:ascii="Times New Roman" w:hAnsi="Times New Roman" w:eastAsia="SimSun" w:cs="Times New Roman"/>
      <w:color w:val="auto"/>
      <w:kern w:val="0"/>
      <w:sz w:val="24"/>
      <w:szCs w:val="24"/>
      <w:lang w:val="en-US" w:eastAsia="zh-CN" w:bidi="ar-SA"/>
    </w:rPr>
  </w:style>
  <w:style w:type="paragraph" w:styleId="Heading1">
    <w:name w:val="Heading 1"/>
    <w:basedOn w:val="Normal"/>
    <w:next w:val="Normal"/>
    <w:qFormat/>
    <w:rsid w:val="002708cd"/>
    <w:pPr>
      <w:keepNext w:val="true"/>
      <w:spacing w:before="120" w:after="120"/>
      <w:jc w:val="center"/>
      <w:outlineLvl w:val="0"/>
    </w:pPr>
    <w:rPr>
      <w:rFonts w:ascii="Times New Roman Bold" w:hAnsi="Times New Roman Bold" w:cs="Times New Roman Bold"/>
      <w:b/>
      <w:bCs/>
      <w:kern w:val="2"/>
      <w:sz w:val="36"/>
      <w:szCs w:val="32"/>
      <w:lang w:eastAsia="en-US"/>
    </w:rPr>
  </w:style>
  <w:style w:type="paragraph" w:styleId="Heading2">
    <w:name w:val="Heading 2"/>
    <w:basedOn w:val="Normal"/>
    <w:next w:val="Normal"/>
    <w:qFormat/>
    <w:rsid w:val="002708cd"/>
    <w:pPr>
      <w:keepNext w:val="true"/>
      <w:spacing w:before="120" w:after="120"/>
      <w:jc w:val="center"/>
      <w:outlineLvl w:val="1"/>
    </w:pPr>
    <w:rPr>
      <w:rFonts w:cs="Arial"/>
      <w:b/>
      <w:bCs/>
      <w:iCs/>
      <w:sz w:val="28"/>
      <w:szCs w:val="28"/>
      <w:lang w:eastAsia="en-US"/>
    </w:rPr>
  </w:style>
  <w:style w:type="paragraph" w:styleId="Heading3">
    <w:name w:val="Heading 3"/>
    <w:basedOn w:val="Normal"/>
    <w:next w:val="Normal"/>
    <w:link w:val="Heading3Char2"/>
    <w:qFormat/>
    <w:rsid w:val="002708cd"/>
    <w:pPr>
      <w:keepNext w:val="true"/>
      <w:outlineLvl w:val="2"/>
    </w:pPr>
    <w:rPr>
      <w:rFonts w:cs="Arial"/>
      <w:bCs/>
      <w:szCs w:val="26"/>
      <w:lang w:eastAsia="en-US"/>
    </w:rPr>
  </w:style>
  <w:style w:type="paragraph" w:styleId="Heading4">
    <w:name w:val="Heading 4"/>
    <w:basedOn w:val="Normal"/>
    <w:next w:val="Normal"/>
    <w:qFormat/>
    <w:rsid w:val="002708cd"/>
    <w:pPr>
      <w:outlineLvl w:val="3"/>
    </w:pPr>
    <w:rPr>
      <w:rFonts w:eastAsia="Times New Roman"/>
      <w:szCs w:val="20"/>
      <w:lang w:eastAsia="en-US"/>
    </w:rPr>
  </w:style>
  <w:style w:type="paragraph" w:styleId="Heading5">
    <w:name w:val="Heading 5"/>
    <w:basedOn w:val="Normal"/>
    <w:next w:val="Normal"/>
    <w:qFormat/>
    <w:rsid w:val="002708cd"/>
    <w:pPr>
      <w:spacing w:before="120" w:after="120"/>
      <w:jc w:val="center"/>
      <w:outlineLvl w:val="4"/>
    </w:pPr>
    <w:rPr>
      <w:rFonts w:eastAsia="Times New Roman"/>
      <w:b/>
      <w:sz w:val="28"/>
      <w:lang w:eastAsia="en-US"/>
    </w:rPr>
  </w:style>
  <w:style w:type="paragraph" w:styleId="Heading6">
    <w:name w:val="Heading 6"/>
    <w:basedOn w:val="Normal"/>
    <w:next w:val="Normal"/>
    <w:qFormat/>
    <w:rsid w:val="002708cd"/>
    <w:pPr>
      <w:keepNext w:val="true"/>
      <w:jc w:val="center"/>
      <w:outlineLvl w:val="5"/>
    </w:pPr>
    <w:rPr>
      <w:rFonts w:eastAsia="Times New Roman"/>
      <w:b/>
      <w:sz w:val="32"/>
      <w:szCs w:val="20"/>
      <w:lang w:eastAsia="en-US"/>
    </w:rPr>
  </w:style>
  <w:style w:type="paragraph" w:styleId="Heading7">
    <w:name w:val="Heading 7"/>
    <w:basedOn w:val="Normal"/>
    <w:next w:val="Normal"/>
    <w:qFormat/>
    <w:rsid w:val="002708cd"/>
    <w:pPr>
      <w:keepNext w:val="true"/>
      <w:tabs>
        <w:tab w:val="clear" w:pos="720"/>
        <w:tab w:val="left" w:pos="1152" w:leader="none"/>
        <w:tab w:val="left" w:pos="2502" w:leader="none"/>
      </w:tabs>
      <w:ind w:left="612" w:hanging="0"/>
      <w:outlineLvl w:val="6"/>
    </w:pPr>
    <w:rPr>
      <w:rFonts w:eastAsia="Times New Roman"/>
      <w:b/>
      <w:sz w:val="20"/>
      <w:szCs w:val="20"/>
      <w:lang w:eastAsia="en-US"/>
    </w:rPr>
  </w:style>
  <w:style w:type="paragraph" w:styleId="Heading8">
    <w:name w:val="Heading 8"/>
    <w:basedOn w:val="Normal"/>
    <w:next w:val="Normal"/>
    <w:qFormat/>
    <w:rsid w:val="002708cd"/>
    <w:pPr>
      <w:keepNext w:val="true"/>
      <w:outlineLvl w:val="7"/>
    </w:pPr>
    <w:rPr>
      <w:rFonts w:eastAsia="Times New Roman"/>
      <w:b/>
      <w:sz w:val="28"/>
      <w:szCs w:val="20"/>
      <w:lang w:eastAsia="en-US"/>
    </w:rPr>
  </w:style>
  <w:style w:type="paragraph" w:styleId="Heading9">
    <w:name w:val="Heading 9"/>
    <w:basedOn w:val="Normal"/>
    <w:next w:val="Normal"/>
    <w:qFormat/>
    <w:rsid w:val="002708cd"/>
    <w:pPr>
      <w:keepNext w:val="true"/>
      <w:outlineLvl w:val="8"/>
    </w:pPr>
    <w:rPr>
      <w:rFonts w:ascii="Arial" w:hAnsi="Arial" w:eastAsia="Times New Roman" w:cs="Arial"/>
      <w:b/>
      <w:bCs/>
      <w:sz w:val="22"/>
      <w:szCs w:val="22"/>
      <w:lang w:val="en-GB" w:eastAsia="en-US"/>
    </w:rPr>
  </w:style>
  <w:style w:type="character" w:styleId="DefaultParagraphFont" w:default="1">
    <w:name w:val="Default Paragraph Font"/>
    <w:uiPriority w:val="1"/>
    <w:semiHidden/>
    <w:unhideWhenUsed/>
    <w:qFormat/>
    <w:rPr/>
  </w:style>
  <w:style w:type="character" w:styleId="Heading3Char2" w:customStyle="1">
    <w:name w:val="Heading 3 Char2"/>
    <w:link w:val="Heading3"/>
    <w:qFormat/>
    <w:rsid w:val="002708cd"/>
    <w:rPr>
      <w:rFonts w:eastAsia="SimSun" w:cs="Arial"/>
      <w:bCs/>
      <w:sz w:val="24"/>
      <w:szCs w:val="26"/>
      <w:lang w:val="en-US" w:eastAsia="en-US" w:bidi="ar-SA"/>
    </w:rPr>
  </w:style>
  <w:style w:type="character" w:styleId="InternetLink">
    <w:name w:val="Hyperlink"/>
    <w:uiPriority w:val="99"/>
    <w:rsid w:val="002708cd"/>
    <w:rPr>
      <w:color w:val="0000FF"/>
      <w:u w:val="single"/>
    </w:rPr>
  </w:style>
  <w:style w:type="character" w:styleId="Pagenumber">
    <w:name w:val="page number"/>
    <w:basedOn w:val="DefaultParagraphFont"/>
    <w:qFormat/>
    <w:rsid w:val="002708cd"/>
    <w:rPr/>
  </w:style>
  <w:style w:type="character" w:styleId="Document4" w:customStyle="1">
    <w:name w:val="Document 4"/>
    <w:qFormat/>
    <w:rsid w:val="002708cd"/>
    <w:rPr>
      <w:b/>
      <w:bCs/>
      <w:i/>
      <w:iCs/>
      <w:sz w:val="20"/>
      <w:szCs w:val="20"/>
    </w:rPr>
  </w:style>
  <w:style w:type="character" w:styleId="BankNormalCharChar" w:customStyle="1">
    <w:name w:val="BankNormal Char Char"/>
    <w:qFormat/>
    <w:rsid w:val="002708cd"/>
    <w:rPr>
      <w:sz w:val="24"/>
      <w:szCs w:val="24"/>
      <w:lang w:val="en-US" w:eastAsia="en-US" w:bidi="ar-SA"/>
    </w:rPr>
  </w:style>
  <w:style w:type="character" w:styleId="Style1Char" w:customStyle="1">
    <w:name w:val="Style1 Char"/>
    <w:link w:val="Style1"/>
    <w:qFormat/>
    <w:rsid w:val="009e25e1"/>
    <w:rPr>
      <w:rFonts w:ascii="Times New Roman Bold" w:hAnsi="Times New Roman Bold" w:eastAsia="SimSun" w:cs="Times New Roman Bold"/>
      <w:b/>
      <w:bCs/>
      <w:sz w:val="32"/>
      <w:szCs w:val="32"/>
      <w:lang w:val="en-US" w:eastAsia="en-US" w:bidi="ar-SA"/>
    </w:rPr>
  </w:style>
  <w:style w:type="character" w:styleId="NormalIndentChar" w:customStyle="1">
    <w:name w:val="Normal Indent Char"/>
    <w:qFormat/>
    <w:rsid w:val="002708cd"/>
    <w:rPr>
      <w:lang w:val="en-US" w:eastAsia="en-US" w:bidi="ar-SA"/>
    </w:rPr>
  </w:style>
  <w:style w:type="character" w:styleId="Heading3Char" w:customStyle="1">
    <w:name w:val="Heading 3 Char"/>
    <w:qFormat/>
    <w:rsid w:val="002708cd"/>
    <w:rPr>
      <w:rFonts w:eastAsia="SimSun" w:cs="Arial"/>
      <w:bCs/>
      <w:sz w:val="24"/>
      <w:szCs w:val="26"/>
      <w:lang w:val="en-US" w:eastAsia="en-US" w:bidi="ar-SA"/>
    </w:rPr>
  </w:style>
  <w:style w:type="character" w:styleId="VisitedInternetLink">
    <w:name w:val="FollowedHyperlink"/>
    <w:rsid w:val="00a0516d"/>
    <w:rPr>
      <w:color w:val="800080"/>
      <w:u w:val="single"/>
    </w:rPr>
  </w:style>
  <w:style w:type="character" w:styleId="Heading3CharChar" w:customStyle="1">
    <w:name w:val="Heading 3 Char Char"/>
    <w:qFormat/>
    <w:rsid w:val="00872a8a"/>
    <w:rPr>
      <w:rFonts w:ascii="Arial" w:hAnsi="Arial" w:eastAsia="SimSun" w:cs="Arial"/>
      <w:b/>
      <w:bCs/>
      <w:sz w:val="26"/>
      <w:szCs w:val="26"/>
      <w:lang w:val="en-GB" w:eastAsia="en-US" w:bidi="ar-SA"/>
    </w:rPr>
  </w:style>
  <w:style w:type="character" w:styleId="Heading3CharCharChar" w:customStyle="1">
    <w:name w:val="Heading 3 Char Char Char"/>
    <w:qFormat/>
    <w:rsid w:val="00f23838"/>
    <w:rPr>
      <w:rFonts w:ascii="Arial" w:hAnsi="Arial" w:eastAsia="SimSun" w:cs="Arial"/>
      <w:b/>
      <w:bCs/>
      <w:sz w:val="26"/>
      <w:szCs w:val="26"/>
      <w:lang w:val="en-GB" w:eastAsia="en-US" w:bidi="ar-SA"/>
    </w:rPr>
  </w:style>
  <w:style w:type="character" w:styleId="Header2SubClausesChar" w:customStyle="1">
    <w:name w:val="Header 2 - SubClauses Char"/>
    <w:link w:val="Header2-SubClauses"/>
    <w:qFormat/>
    <w:rsid w:val="00405567"/>
    <w:rPr>
      <w:sz w:val="24"/>
      <w:lang w:val="es-ES_tradnl" w:eastAsia="en-US" w:bidi="ar-SA"/>
    </w:rPr>
  </w:style>
  <w:style w:type="character" w:styleId="DocInit" w:customStyle="1">
    <w:name w:val="Doc Init"/>
    <w:basedOn w:val="DefaultParagraphFont"/>
    <w:qFormat/>
    <w:rsid w:val="00db733d"/>
    <w:rPr/>
  </w:style>
  <w:style w:type="character" w:styleId="Heading3CharCharCharCharCharCharCharCharCharCharCharCharCharChar" w:customStyle="1">
    <w:name w:val="Heading 3 Char Char Char Char Char Char Char Char Char Char Char Char Char Char"/>
    <w:qFormat/>
    <w:rsid w:val="00c76804"/>
    <w:rPr>
      <w:rFonts w:ascii="Arial" w:hAnsi="Arial" w:eastAsia="SimSun" w:cs="Arial"/>
      <w:b/>
      <w:bCs/>
      <w:sz w:val="26"/>
      <w:szCs w:val="26"/>
      <w:lang w:val="en-GB" w:eastAsia="en-US" w:bidi="ar-SA"/>
    </w:rPr>
  </w:style>
  <w:style w:type="character" w:styleId="ICharChar" w:customStyle="1">
    <w:name w:val="(i) Char Char"/>
    <w:link w:val="iChar"/>
    <w:qFormat/>
    <w:rsid w:val="00207c48"/>
    <w:rPr>
      <w:rFonts w:ascii="Tms Rmn" w:hAnsi="Tms Rmn"/>
      <w:sz w:val="24"/>
      <w:lang w:val="en-US" w:eastAsia="en-US" w:bidi="ar-SA"/>
    </w:rPr>
  </w:style>
  <w:style w:type="character" w:styleId="Technical2" w:customStyle="1">
    <w:name w:val="Technical 2"/>
    <w:semiHidden/>
    <w:qFormat/>
    <w:rsid w:val="0091279e"/>
    <w:rPr>
      <w:rFonts w:ascii="Times New Roman" w:hAnsi="Times New Roman"/>
      <w:sz w:val="20"/>
      <w:szCs w:val="20"/>
      <w:lang w:val="en-US"/>
    </w:rPr>
  </w:style>
  <w:style w:type="character" w:styleId="Annotationreference">
    <w:name w:val="annotation reference"/>
    <w:semiHidden/>
    <w:unhideWhenUsed/>
    <w:qFormat/>
    <w:rsid w:val="002e17f5"/>
    <w:rPr>
      <w:sz w:val="16"/>
      <w:szCs w:val="16"/>
    </w:rPr>
  </w:style>
  <w:style w:type="character" w:styleId="CommentTextChar" w:customStyle="1">
    <w:name w:val="Comment Text Char"/>
    <w:link w:val="CommentText"/>
    <w:semiHidden/>
    <w:qFormat/>
    <w:rsid w:val="002e17f5"/>
    <w:rPr>
      <w:lang w:eastAsia="zh-CN"/>
    </w:rPr>
  </w:style>
  <w:style w:type="character" w:styleId="CommentSubjectChar" w:customStyle="1">
    <w:name w:val="Comment Subject Char"/>
    <w:link w:val="CommentSubject"/>
    <w:uiPriority w:val="99"/>
    <w:semiHidden/>
    <w:qFormat/>
    <w:rsid w:val="002e17f5"/>
    <w:rPr>
      <w:b/>
      <w:bCs/>
      <w:lang w:eastAsia="zh-CN"/>
    </w:rPr>
  </w:style>
  <w:style w:type="character" w:styleId="IndexLink">
    <w:name w:val="Index Link"/>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rsid w:val="002708cd"/>
    <w:pPr>
      <w:jc w:val="both"/>
    </w:pPr>
    <w:rPr>
      <w:rFonts w:eastAsia="Times New Roman"/>
      <w:szCs w:val="20"/>
      <w:lang w:eastAsia="en-US"/>
    </w:rPr>
  </w:style>
  <w:style w:type="paragraph" w:styleId="List">
    <w:name w:val="List"/>
    <w:basedOn w:val="Normal"/>
    <w:rsid w:val="002708cd"/>
    <w:pPr>
      <w:spacing w:before="120" w:after="120"/>
      <w:ind w:left="1440" w:hanging="0"/>
      <w:jc w:val="both"/>
    </w:pPr>
    <w:rPr>
      <w:rFonts w:eastAsia="Times New Roman"/>
      <w:szCs w:val="20"/>
      <w:lang w:eastAsia="en-US"/>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SubClauseText" w:customStyle="1">
    <w:name w:val="Sub-Clause Text"/>
    <w:basedOn w:val="Normal"/>
    <w:semiHidden/>
    <w:qFormat/>
    <w:rsid w:val="002708cd"/>
    <w:pPr>
      <w:spacing w:before="120" w:after="120"/>
      <w:jc w:val="both"/>
    </w:pPr>
    <w:rPr>
      <w:rFonts w:eastAsia="Times New Roman"/>
      <w:spacing w:val="-4"/>
      <w:szCs w:val="20"/>
      <w:lang w:eastAsia="en-US"/>
    </w:rPr>
  </w:style>
  <w:style w:type="paragraph" w:styleId="Outline1" w:customStyle="1">
    <w:name w:val="Outline1"/>
    <w:basedOn w:val="Outline"/>
    <w:next w:val="Outline2"/>
    <w:semiHidden/>
    <w:qFormat/>
    <w:rsid w:val="002708cd"/>
    <w:pPr>
      <w:keepNext w:val="true"/>
      <w:tabs>
        <w:tab w:val="clear" w:pos="720"/>
        <w:tab w:val="left" w:pos="360" w:leader="none"/>
      </w:tabs>
      <w:ind w:left="360" w:hanging="360"/>
    </w:pPr>
    <w:rPr/>
  </w:style>
  <w:style w:type="paragraph" w:styleId="Outline" w:customStyle="1">
    <w:name w:val="Outline"/>
    <w:basedOn w:val="Normal"/>
    <w:semiHidden/>
    <w:qFormat/>
    <w:rsid w:val="002708cd"/>
    <w:pPr>
      <w:spacing w:before="240" w:after="0"/>
    </w:pPr>
    <w:rPr>
      <w:rFonts w:eastAsia="Times New Roman"/>
      <w:kern w:val="2"/>
      <w:szCs w:val="20"/>
      <w:lang w:eastAsia="en-US"/>
    </w:rPr>
  </w:style>
  <w:style w:type="paragraph" w:styleId="Outline2" w:customStyle="1">
    <w:name w:val="Outline2"/>
    <w:basedOn w:val="Normal"/>
    <w:qFormat/>
    <w:rsid w:val="002708cd"/>
    <w:pPr>
      <w:tabs>
        <w:tab w:val="clear" w:pos="720"/>
        <w:tab w:val="left" w:pos="864" w:leader="none"/>
      </w:tabs>
      <w:spacing w:before="240" w:after="0"/>
      <w:ind w:left="864" w:hanging="504"/>
    </w:pPr>
    <w:rPr>
      <w:rFonts w:eastAsia="Times New Roman"/>
      <w:kern w:val="2"/>
      <w:szCs w:val="20"/>
      <w:lang w:eastAsia="en-US"/>
    </w:rPr>
  </w:style>
  <w:style w:type="paragraph" w:styleId="Outline3" w:customStyle="1">
    <w:name w:val="Outline3"/>
    <w:basedOn w:val="Normal"/>
    <w:qFormat/>
    <w:rsid w:val="002708cd"/>
    <w:pPr>
      <w:tabs>
        <w:tab w:val="clear" w:pos="720"/>
        <w:tab w:val="left" w:pos="1368" w:leader="none"/>
      </w:tabs>
      <w:spacing w:before="240" w:after="0"/>
      <w:ind w:left="1368" w:hanging="504"/>
    </w:pPr>
    <w:rPr>
      <w:rFonts w:eastAsia="Times New Roman"/>
      <w:kern w:val="2"/>
      <w:szCs w:val="20"/>
      <w:lang w:eastAsia="en-US"/>
    </w:rPr>
  </w:style>
  <w:style w:type="paragraph" w:styleId="TOCNumber1" w:customStyle="1">
    <w:name w:val="TOC Number1"/>
    <w:basedOn w:val="Heading4"/>
    <w:autoRedefine/>
    <w:qFormat/>
    <w:rsid w:val="002708cd"/>
    <w:pPr>
      <w:tabs>
        <w:tab w:val="clear" w:pos="720"/>
        <w:tab w:val="left" w:pos="450" w:leader="none"/>
      </w:tabs>
      <w:outlineLvl w:val="9"/>
    </w:pPr>
    <w:rPr/>
  </w:style>
  <w:style w:type="paragraph" w:styleId="SectionXHeader3" w:customStyle="1">
    <w:name w:val="Section X Header 3"/>
    <w:basedOn w:val="Heading1"/>
    <w:autoRedefine/>
    <w:qFormat/>
    <w:rsid w:val="002708cd"/>
    <w:pPr>
      <w:spacing w:before="120" w:after="0"/>
      <w:outlineLvl w:val="9"/>
    </w:pPr>
    <w:rPr>
      <w:kern w:val="0"/>
      <w:sz w:val="48"/>
    </w:rPr>
  </w:style>
  <w:style w:type="paragraph" w:styleId="IChar" w:customStyle="1">
    <w:name w:val="(i) Char"/>
    <w:basedOn w:val="Normal"/>
    <w:link w:val="iCharChar"/>
    <w:semiHidden/>
    <w:qFormat/>
    <w:rsid w:val="002708cd"/>
    <w:pPr>
      <w:suppressAutoHyphens w:val="true"/>
      <w:jc w:val="both"/>
    </w:pPr>
    <w:rPr>
      <w:rFonts w:ascii="Tms Rmn" w:hAnsi="Tms Rmn"/>
      <w:szCs w:val="20"/>
      <w:lang w:eastAsia="en-US"/>
    </w:rPr>
  </w:style>
  <w:style w:type="paragraph" w:styleId="Title">
    <w:name w:val="Title"/>
    <w:basedOn w:val="Normal"/>
    <w:qFormat/>
    <w:rsid w:val="002708cd"/>
    <w:pPr>
      <w:jc w:val="center"/>
    </w:pPr>
    <w:rPr>
      <w:rFonts w:eastAsia="Times New Roman"/>
      <w:b/>
      <w:sz w:val="48"/>
      <w:szCs w:val="20"/>
      <w:lang w:eastAsia="en-US"/>
    </w:rPr>
  </w:style>
  <w:style w:type="paragraph" w:styleId="HeaderandFooter">
    <w:name w:val="Header and Footer"/>
    <w:basedOn w:val="Normal"/>
    <w:qFormat/>
    <w:pPr/>
    <w:rPr/>
  </w:style>
  <w:style w:type="paragraph" w:styleId="Footer">
    <w:name w:val="Footer"/>
    <w:basedOn w:val="Normal"/>
    <w:rsid w:val="002708cd"/>
    <w:pPr>
      <w:tabs>
        <w:tab w:val="clear" w:pos="720"/>
        <w:tab w:val="right" w:pos="9504" w:leader="underscore"/>
      </w:tabs>
      <w:spacing w:before="120" w:after="0"/>
    </w:pPr>
    <w:rPr>
      <w:rFonts w:eastAsia="Times New Roman"/>
      <w:szCs w:val="20"/>
      <w:lang w:eastAsia="en-US"/>
    </w:rPr>
  </w:style>
  <w:style w:type="paragraph" w:styleId="Subtitle2" w:customStyle="1">
    <w:name w:val="Subtitle 2"/>
    <w:basedOn w:val="Footer"/>
    <w:autoRedefine/>
    <w:qFormat/>
    <w:rsid w:val="002708cd"/>
    <w:pPr>
      <w:ind w:left="360" w:hanging="360"/>
      <w:jc w:val="center"/>
      <w:outlineLvl w:val="1"/>
    </w:pPr>
    <w:rPr>
      <w:b/>
      <w:sz w:val="32"/>
    </w:rPr>
  </w:style>
  <w:style w:type="paragraph" w:styleId="BankNormal" w:customStyle="1">
    <w:name w:val="BankNormal"/>
    <w:basedOn w:val="Normal"/>
    <w:semiHidden/>
    <w:qFormat/>
    <w:rsid w:val="002708cd"/>
    <w:pPr>
      <w:spacing w:before="0" w:after="240"/>
    </w:pPr>
    <w:rPr>
      <w:rFonts w:eastAsia="Times New Roman"/>
      <w:szCs w:val="20"/>
      <w:lang w:eastAsia="en-US"/>
    </w:rPr>
  </w:style>
  <w:style w:type="paragraph" w:styleId="Contents1">
    <w:name w:val="TOC 1"/>
    <w:basedOn w:val="Normal"/>
    <w:next w:val="Normal"/>
    <w:autoRedefine/>
    <w:uiPriority w:val="39"/>
    <w:rsid w:val="00641037"/>
    <w:pPr>
      <w:tabs>
        <w:tab w:val="clear" w:pos="720"/>
        <w:tab w:val="left" w:pos="630" w:leader="none"/>
        <w:tab w:val="right" w:pos="9019" w:leader="dot"/>
      </w:tabs>
      <w:spacing w:before="120" w:after="0"/>
      <w:ind w:left="1080" w:hanging="783"/>
    </w:pPr>
    <w:rPr>
      <w:rFonts w:ascii="Arial" w:hAnsi="Arial" w:eastAsia="Times New Roman" w:cs="Arial"/>
      <w:b/>
      <w:bCs/>
      <w:lang w:val="fr-FR" w:eastAsia="en-US"/>
    </w:rPr>
  </w:style>
  <w:style w:type="paragraph" w:styleId="Contents2">
    <w:name w:val="TOC 2"/>
    <w:basedOn w:val="Normal"/>
    <w:next w:val="Normal"/>
    <w:autoRedefine/>
    <w:uiPriority w:val="39"/>
    <w:rsid w:val="005049d6"/>
    <w:pPr>
      <w:tabs>
        <w:tab w:val="clear" w:pos="720"/>
        <w:tab w:val="left" w:pos="600" w:leader="none"/>
        <w:tab w:val="right" w:pos="9019" w:leader="dot"/>
      </w:tabs>
      <w:spacing w:before="120" w:after="0"/>
      <w:ind w:left="288" w:right="144" w:hanging="0"/>
    </w:pPr>
    <w:rPr>
      <w:rFonts w:ascii="Arial" w:hAnsi="Arial" w:eastAsia="Times New Roman" w:cs="Arial"/>
      <w:b/>
      <w:bCs/>
      <w:sz w:val="22"/>
      <w:lang w:val="en-GB" w:eastAsia="en-US"/>
    </w:rPr>
  </w:style>
  <w:style w:type="paragraph" w:styleId="Subtitle">
    <w:name w:val="Subtitle"/>
    <w:basedOn w:val="Normal"/>
    <w:qFormat/>
    <w:rsid w:val="002708cd"/>
    <w:pPr>
      <w:jc w:val="center"/>
    </w:pPr>
    <w:rPr>
      <w:rFonts w:eastAsia="Times New Roman"/>
      <w:b/>
      <w:sz w:val="44"/>
      <w:szCs w:val="20"/>
      <w:lang w:eastAsia="en-US"/>
    </w:rPr>
  </w:style>
  <w:style w:type="paragraph" w:styleId="Heading1Clausename" w:customStyle="1">
    <w:name w:val="Heading 1- Clause name"/>
    <w:basedOn w:val="Normal"/>
    <w:semiHidden/>
    <w:qFormat/>
    <w:rsid w:val="002708cd"/>
    <w:pPr>
      <w:tabs>
        <w:tab w:val="clear" w:pos="720"/>
        <w:tab w:val="left" w:pos="425" w:leader="none"/>
      </w:tabs>
      <w:spacing w:before="120" w:after="120"/>
      <w:ind w:left="425" w:hanging="425"/>
    </w:pPr>
    <w:rPr>
      <w:rFonts w:eastAsia="Times New Roman"/>
      <w:b/>
      <w:szCs w:val="20"/>
      <w:lang w:eastAsia="en-US"/>
    </w:rPr>
  </w:style>
  <w:style w:type="paragraph" w:styleId="BodyText2">
    <w:name w:val="Body Text 2"/>
    <w:basedOn w:val="Normal"/>
    <w:qFormat/>
    <w:rsid w:val="002708cd"/>
    <w:pPr>
      <w:tabs>
        <w:tab w:val="clear" w:pos="720"/>
        <w:tab w:val="left" w:pos="605" w:leader="none"/>
      </w:tabs>
      <w:spacing w:before="120" w:after="120"/>
      <w:ind w:left="605" w:hanging="425"/>
      <w:jc w:val="center"/>
    </w:pPr>
    <w:rPr>
      <w:rFonts w:eastAsia="Times New Roman"/>
      <w:b/>
      <w:sz w:val="28"/>
      <w:szCs w:val="20"/>
      <w:lang w:eastAsia="en-US"/>
    </w:rPr>
  </w:style>
  <w:style w:type="paragraph" w:styleId="SectionVHeader" w:customStyle="1">
    <w:name w:val="Section V. Header"/>
    <w:basedOn w:val="Normal"/>
    <w:semiHidden/>
    <w:qFormat/>
    <w:rsid w:val="002708cd"/>
    <w:pPr>
      <w:jc w:val="center"/>
    </w:pPr>
    <w:rPr>
      <w:rFonts w:eastAsia="Times New Roman"/>
      <w:b/>
      <w:sz w:val="36"/>
      <w:szCs w:val="20"/>
      <w:lang w:eastAsia="en-US"/>
    </w:rPr>
  </w:style>
  <w:style w:type="paragraph" w:styleId="NormalWeb">
    <w:name w:val="Normal (Web)"/>
    <w:basedOn w:val="Normal"/>
    <w:qFormat/>
    <w:rsid w:val="002708cd"/>
    <w:pPr>
      <w:spacing w:before="100" w:after="100"/>
    </w:pPr>
    <w:rPr>
      <w:rFonts w:ascii="Arial Unicode MS" w:hAnsi="Arial Unicode MS" w:eastAsia="Arial Unicode MS"/>
      <w:szCs w:val="20"/>
      <w:lang w:eastAsia="en-US"/>
    </w:rPr>
  </w:style>
  <w:style w:type="paragraph" w:styleId="Footnote">
    <w:name w:val="Footnote Text"/>
    <w:basedOn w:val="Normal"/>
    <w:semiHidden/>
    <w:rsid w:val="002708cd"/>
    <w:pPr>
      <w:jc w:val="both"/>
    </w:pPr>
    <w:rPr>
      <w:rFonts w:eastAsia="Times New Roman"/>
      <w:sz w:val="20"/>
      <w:szCs w:val="20"/>
      <w:lang w:eastAsia="en-US"/>
    </w:rPr>
  </w:style>
  <w:style w:type="paragraph" w:styleId="Part1" w:customStyle="1">
    <w:name w:val="Part 1"/>
    <w:basedOn w:val="Normal"/>
    <w:autoRedefine/>
    <w:qFormat/>
    <w:rsid w:val="002708cd"/>
    <w:pPr>
      <w:spacing w:before="240" w:after="240"/>
      <w:jc w:val="center"/>
    </w:pPr>
    <w:rPr>
      <w:rFonts w:eastAsia="Times New Roman"/>
      <w:b/>
      <w:sz w:val="36"/>
      <w:szCs w:val="20"/>
      <w:lang w:eastAsia="en-US"/>
    </w:rPr>
  </w:style>
  <w:style w:type="paragraph" w:styleId="Sec7clauses" w:customStyle="1">
    <w:name w:val="sec7-clauses"/>
    <w:basedOn w:val="Heading1Clausename"/>
    <w:qFormat/>
    <w:rsid w:val="002708cd"/>
    <w:pPr/>
    <w:rPr/>
  </w:style>
  <w:style w:type="paragraph" w:styleId="BodyText3">
    <w:name w:val="Body Text 3"/>
    <w:basedOn w:val="Normal"/>
    <w:qFormat/>
    <w:rsid w:val="002708cd"/>
    <w:pPr>
      <w:tabs>
        <w:tab w:val="clear" w:pos="720"/>
        <w:tab w:val="right" w:pos="7254" w:leader="none"/>
      </w:tabs>
      <w:spacing w:before="120" w:after="0"/>
    </w:pPr>
    <w:rPr>
      <w:rFonts w:eastAsia="Times New Roman"/>
      <w:i/>
      <w:szCs w:val="20"/>
      <w:lang w:eastAsia="en-US"/>
    </w:rPr>
  </w:style>
  <w:style w:type="paragraph" w:styleId="Header">
    <w:name w:val="Header"/>
    <w:basedOn w:val="Normal"/>
    <w:rsid w:val="002708cd"/>
    <w:pPr>
      <w:pBdr>
        <w:bottom w:val="single" w:sz="4" w:space="1" w:color="000000"/>
      </w:pBdr>
      <w:tabs>
        <w:tab w:val="clear" w:pos="720"/>
        <w:tab w:val="right" w:pos="9000" w:leader="none"/>
      </w:tabs>
      <w:jc w:val="both"/>
    </w:pPr>
    <w:rPr>
      <w:rFonts w:eastAsia="Times New Roman"/>
      <w:sz w:val="20"/>
      <w:szCs w:val="20"/>
      <w:lang w:eastAsia="en-US"/>
    </w:rPr>
  </w:style>
  <w:style w:type="paragraph" w:styleId="Contents3">
    <w:name w:val="TOC 3"/>
    <w:basedOn w:val="Normal"/>
    <w:next w:val="Normal"/>
    <w:autoRedefine/>
    <w:uiPriority w:val="39"/>
    <w:rsid w:val="00272357"/>
    <w:pPr>
      <w:tabs>
        <w:tab w:val="clear" w:pos="720"/>
        <w:tab w:val="left" w:pos="1368" w:leader="none"/>
        <w:tab w:val="right" w:pos="9019" w:leader="dot"/>
      </w:tabs>
      <w:ind w:left="1395" w:hanging="423"/>
    </w:pPr>
    <w:rPr>
      <w:rFonts w:ascii="Arial" w:hAnsi="Arial" w:eastAsia="Times New Roman" w:cs="Arial"/>
      <w:b/>
      <w:bCs/>
      <w:sz w:val="20"/>
      <w:szCs w:val="20"/>
      <w:lang w:val="fr-FR" w:eastAsia="en-US"/>
    </w:rPr>
  </w:style>
  <w:style w:type="paragraph" w:styleId="Contents4">
    <w:name w:val="TOC 4"/>
    <w:basedOn w:val="Normal"/>
    <w:next w:val="Normal"/>
    <w:autoRedefine/>
    <w:uiPriority w:val="39"/>
    <w:rsid w:val="002708cd"/>
    <w:pPr>
      <w:tabs>
        <w:tab w:val="clear" w:pos="720"/>
        <w:tab w:val="left" w:pos="1400" w:leader="none"/>
        <w:tab w:val="right" w:pos="9019" w:leader="dot"/>
      </w:tabs>
      <w:ind w:left="864" w:right="576" w:hanging="0"/>
    </w:pPr>
    <w:rPr>
      <w:rFonts w:ascii="Arial" w:hAnsi="Arial" w:eastAsia="Times New Roman" w:cs="Arial"/>
      <w:sz w:val="18"/>
      <w:szCs w:val="22"/>
      <w:lang w:val="en-GB" w:eastAsia="en-US"/>
    </w:rPr>
  </w:style>
  <w:style w:type="paragraph" w:styleId="BlockText">
    <w:name w:val="Block Text"/>
    <w:basedOn w:val="Normal"/>
    <w:qFormat/>
    <w:rsid w:val="002708cd"/>
    <w:pPr>
      <w:suppressAutoHyphens w:val="true"/>
      <w:ind w:left="1508" w:right="-72" w:hanging="567"/>
      <w:jc w:val="both"/>
    </w:pPr>
    <w:rPr>
      <w:rFonts w:eastAsia="Times New Roman"/>
      <w:szCs w:val="20"/>
      <w:lang w:eastAsia="en-US"/>
    </w:rPr>
  </w:style>
  <w:style w:type="paragraph" w:styleId="TextBodyIndent">
    <w:name w:val="Body Text Indent"/>
    <w:basedOn w:val="Normal"/>
    <w:rsid w:val="002708cd"/>
    <w:pPr>
      <w:ind w:left="799" w:hanging="0"/>
    </w:pPr>
    <w:rPr>
      <w:rFonts w:eastAsia="Times New Roman"/>
      <w:szCs w:val="20"/>
      <w:lang w:eastAsia="en-US"/>
    </w:rPr>
  </w:style>
  <w:style w:type="paragraph" w:styleId="BodyTextIndent2">
    <w:name w:val="Body Text Indent 2"/>
    <w:basedOn w:val="Normal"/>
    <w:qFormat/>
    <w:rsid w:val="002708cd"/>
    <w:pPr>
      <w:spacing w:before="120" w:after="0"/>
      <w:ind w:left="657" w:hanging="657"/>
    </w:pPr>
    <w:rPr>
      <w:rFonts w:eastAsia="Times New Roman"/>
      <w:szCs w:val="20"/>
      <w:lang w:eastAsia="en-US"/>
    </w:rPr>
  </w:style>
  <w:style w:type="paragraph" w:styleId="BodyTextIndent3">
    <w:name w:val="Body Text Indent 3"/>
    <w:basedOn w:val="Normal"/>
    <w:qFormat/>
    <w:rsid w:val="002708cd"/>
    <w:pPr>
      <w:spacing w:before="120" w:after="120"/>
      <w:ind w:left="1083" w:hanging="567"/>
    </w:pPr>
    <w:rPr>
      <w:rFonts w:eastAsia="Times New Roman"/>
      <w:szCs w:val="20"/>
      <w:lang w:eastAsia="en-US"/>
    </w:rPr>
  </w:style>
  <w:style w:type="paragraph" w:styleId="BalloonText">
    <w:name w:val="Balloon Text"/>
    <w:basedOn w:val="Normal"/>
    <w:semiHidden/>
    <w:qFormat/>
    <w:rsid w:val="002708cd"/>
    <w:pPr/>
    <w:rPr>
      <w:rFonts w:ascii="Tahoma" w:hAnsi="Tahoma" w:eastAsia="Times New Roman" w:cs="Tahoma"/>
      <w:sz w:val="16"/>
      <w:szCs w:val="16"/>
      <w:lang w:eastAsia="en-US"/>
    </w:rPr>
  </w:style>
  <w:style w:type="paragraph" w:styleId="Head22" w:customStyle="1">
    <w:name w:val="Head 2.2"/>
    <w:basedOn w:val="Normal"/>
    <w:qFormat/>
    <w:rsid w:val="002708cd"/>
    <w:pPr>
      <w:tabs>
        <w:tab w:val="clear" w:pos="720"/>
        <w:tab w:val="left" w:pos="360" w:leader="none"/>
      </w:tabs>
      <w:suppressAutoHyphens w:val="true"/>
      <w:overflowPunct w:val="false"/>
      <w:ind w:left="360" w:hanging="360"/>
      <w:textAlignment w:val="baseline"/>
    </w:pPr>
    <w:rPr>
      <w:rFonts w:eastAsia="Times New Roman"/>
      <w:b/>
      <w:bCs/>
    </w:rPr>
  </w:style>
  <w:style w:type="paragraph" w:styleId="Date">
    <w:name w:val="Date"/>
    <w:basedOn w:val="Normal"/>
    <w:next w:val="Normal"/>
    <w:qFormat/>
    <w:rsid w:val="002708cd"/>
    <w:pPr/>
    <w:rPr>
      <w:rFonts w:eastAsia="Times New Roman"/>
      <w:sz w:val="20"/>
      <w:szCs w:val="20"/>
      <w:lang w:eastAsia="en-US"/>
    </w:rPr>
  </w:style>
  <w:style w:type="paragraph" w:styleId="ListBullet">
    <w:name w:val="List Bullet"/>
    <w:basedOn w:val="Normal"/>
    <w:autoRedefine/>
    <w:qFormat/>
    <w:rsid w:val="002708cd"/>
    <w:pPr/>
    <w:rPr>
      <w:rFonts w:eastAsia="Times New Roman"/>
      <w:sz w:val="20"/>
      <w:szCs w:val="20"/>
      <w:lang w:eastAsia="en-US"/>
    </w:rPr>
  </w:style>
  <w:style w:type="paragraph" w:styleId="Style11" w:customStyle="1">
    <w:name w:val="Style1"/>
    <w:basedOn w:val="Normal"/>
    <w:next w:val="Normal"/>
    <w:link w:val="Style1Char"/>
    <w:qFormat/>
    <w:rsid w:val="002708cd"/>
    <w:pPr>
      <w:spacing w:before="60" w:after="60"/>
    </w:pPr>
    <w:rPr>
      <w:rFonts w:ascii="Times New Roman Bold" w:hAnsi="Times New Roman Bold" w:cs="Times New Roman Bold"/>
      <w:b/>
      <w:bCs/>
      <w:sz w:val="32"/>
      <w:szCs w:val="32"/>
      <w:lang w:eastAsia="en-US"/>
    </w:rPr>
  </w:style>
  <w:style w:type="paragraph" w:styleId="Style21" w:customStyle="1">
    <w:name w:val="Style2"/>
    <w:basedOn w:val="Normal"/>
    <w:qFormat/>
    <w:rsid w:val="002708cd"/>
    <w:pPr/>
    <w:rPr>
      <w:sz w:val="20"/>
      <w:szCs w:val="20"/>
      <w:lang w:eastAsia="en-US"/>
    </w:rPr>
  </w:style>
  <w:style w:type="paragraph" w:styleId="NormalIndent">
    <w:name w:val="Normal Indent"/>
    <w:basedOn w:val="Normal"/>
    <w:qFormat/>
    <w:rsid w:val="002708cd"/>
    <w:pPr>
      <w:ind w:left="720" w:hanging="0"/>
    </w:pPr>
    <w:rPr>
      <w:rFonts w:eastAsia="Times New Roman"/>
      <w:sz w:val="20"/>
      <w:szCs w:val="20"/>
      <w:lang w:eastAsia="en-US"/>
    </w:rPr>
  </w:style>
  <w:style w:type="paragraph" w:styleId="Envelopereturn">
    <w:name w:val="envelope return"/>
    <w:basedOn w:val="Normal"/>
    <w:qFormat/>
    <w:rsid w:val="009342b0"/>
    <w:pPr>
      <w:suppressAutoHyphens w:val="true"/>
      <w:overflowPunct w:val="false"/>
      <w:jc w:val="both"/>
      <w:textAlignment w:val="baseline"/>
    </w:pPr>
    <w:rPr>
      <w:rFonts w:eastAsia="Times New Roman"/>
      <w:sz w:val="20"/>
      <w:szCs w:val="20"/>
      <w:lang w:eastAsia="en-US"/>
    </w:rPr>
  </w:style>
  <w:style w:type="paragraph" w:styleId="Header2SubClauses" w:customStyle="1">
    <w:name w:val="Header 2 - SubClauses"/>
    <w:basedOn w:val="Normal"/>
    <w:link w:val="Header2-SubClausesChar"/>
    <w:qFormat/>
    <w:rsid w:val="00405567"/>
    <w:pPr>
      <w:tabs>
        <w:tab w:val="clear" w:pos="720"/>
        <w:tab w:val="left" w:pos="619" w:leader="none"/>
        <w:tab w:val="left" w:pos="648" w:leader="none"/>
      </w:tabs>
      <w:spacing w:before="0" w:after="200"/>
      <w:ind w:left="648" w:hanging="648"/>
      <w:jc w:val="both"/>
    </w:pPr>
    <w:rPr>
      <w:szCs w:val="20"/>
      <w:lang w:val="es-ES_tradnl" w:eastAsia="en-US"/>
    </w:rPr>
  </w:style>
  <w:style w:type="paragraph" w:styleId="Header3Paragraph" w:customStyle="1">
    <w:name w:val="Header 3 - Paragraph"/>
    <w:basedOn w:val="Normal"/>
    <w:qFormat/>
    <w:rsid w:val="00405567"/>
    <w:pPr>
      <w:numPr>
        <w:ilvl w:val="0"/>
        <w:numId w:val="32"/>
      </w:numPr>
      <w:spacing w:before="0" w:after="200"/>
      <w:jc w:val="both"/>
    </w:pPr>
    <w:rPr>
      <w:rFonts w:eastAsia="Times New Roman"/>
      <w:szCs w:val="20"/>
      <w:lang w:eastAsia="en-US"/>
    </w:rPr>
  </w:style>
  <w:style w:type="paragraph" w:styleId="ClauseSubPara" w:customStyle="1">
    <w:name w:val="ClauseSub_Para"/>
    <w:qFormat/>
    <w:rsid w:val="00db733d"/>
    <w:pPr>
      <w:widowControl/>
      <w:suppressAutoHyphens w:val="true"/>
      <w:bidi w:val="0"/>
      <w:spacing w:before="60" w:after="60"/>
      <w:ind w:left="2268" w:hanging="0"/>
      <w:jc w:val="left"/>
    </w:pPr>
    <w:rPr>
      <w:rFonts w:ascii="Times New Roman" w:hAnsi="Times New Roman" w:eastAsia="Times New Roman" w:cs="Times New Roman"/>
      <w:color w:val="auto"/>
      <w:kern w:val="0"/>
      <w:sz w:val="22"/>
      <w:szCs w:val="22"/>
      <w:lang w:val="en-GB" w:eastAsia="en-US" w:bidi="ar-SA"/>
    </w:rPr>
  </w:style>
  <w:style w:type="paragraph" w:styleId="ClauseSubList" w:customStyle="1">
    <w:name w:val="ClauseSub_List"/>
    <w:qFormat/>
    <w:rsid w:val="00db733d"/>
    <w:pPr>
      <w:widowControl/>
      <w:numPr>
        <w:ilvl w:val="0"/>
        <w:numId w:val="3"/>
      </w:numPr>
      <w:suppressAutoHyphens w:val="true"/>
      <w:bidi w:val="0"/>
      <w:spacing w:before="0" w:after="0"/>
      <w:jc w:val="left"/>
    </w:pPr>
    <w:rPr>
      <w:rFonts w:ascii="Times New Roman" w:hAnsi="Times New Roman" w:eastAsia="Times New Roman" w:cs="Times New Roman"/>
      <w:color w:val="auto"/>
      <w:kern w:val="0"/>
      <w:sz w:val="22"/>
      <w:szCs w:val="22"/>
      <w:lang w:val="en-GB" w:eastAsia="en-US" w:bidi="ar-SA"/>
    </w:rPr>
  </w:style>
  <w:style w:type="paragraph" w:styleId="ClauseSubListSubList" w:customStyle="1">
    <w:name w:val="ClauseSub_List_SubList"/>
    <w:qFormat/>
    <w:rsid w:val="00db733d"/>
    <w:pPr>
      <w:widowControl/>
      <w:numPr>
        <w:ilvl w:val="0"/>
        <w:numId w:val="2"/>
      </w:numPr>
      <w:suppressAutoHyphens w:val="true"/>
      <w:bidi w:val="0"/>
      <w:spacing w:before="0" w:after="0"/>
      <w:jc w:val="left"/>
    </w:pPr>
    <w:rPr>
      <w:rFonts w:ascii="Times New Roman" w:hAnsi="Times New Roman" w:eastAsia="Times New Roman" w:cs="Times New Roman"/>
      <w:color w:val="auto"/>
      <w:kern w:val="0"/>
      <w:sz w:val="22"/>
      <w:szCs w:val="22"/>
      <w:lang w:val="en-GB" w:eastAsia="en-US" w:bidi="ar-SA"/>
    </w:rPr>
  </w:style>
  <w:style w:type="paragraph" w:styleId="StyleClauseSubList12ptJustifiedAfter10pt" w:customStyle="1">
    <w:name w:val="Style ClauseSub_List + 12 pt Justified After:  10 pt"/>
    <w:basedOn w:val="ClauseSubList"/>
    <w:qFormat/>
    <w:rsid w:val="00db733d"/>
    <w:pPr>
      <w:numPr>
        <w:ilvl w:val="0"/>
        <w:numId w:val="51"/>
      </w:numPr>
      <w:spacing w:before="0" w:after="200"/>
      <w:jc w:val="both"/>
    </w:pPr>
    <w:rPr>
      <w:sz w:val="24"/>
      <w:szCs w:val="24"/>
    </w:rPr>
  </w:style>
  <w:style w:type="paragraph" w:styleId="Index4">
    <w:name w:val="index 4"/>
    <w:basedOn w:val="Normal"/>
    <w:next w:val="Normal"/>
    <w:semiHidden/>
    <w:qFormat/>
    <w:rsid w:val="00db733d"/>
    <w:pPr>
      <w:tabs>
        <w:tab w:val="clear" w:pos="720"/>
        <w:tab w:val="right" w:pos="4140" w:leader="none"/>
      </w:tabs>
      <w:ind w:left="960" w:hanging="240"/>
    </w:pPr>
    <w:rPr>
      <w:rFonts w:eastAsia="Times New Roman"/>
      <w:sz w:val="20"/>
      <w:szCs w:val="20"/>
      <w:lang w:eastAsia="en-US"/>
    </w:rPr>
  </w:style>
  <w:style w:type="paragraph" w:styleId="Contents5">
    <w:name w:val="TOC 5"/>
    <w:basedOn w:val="Normal"/>
    <w:next w:val="Normal"/>
    <w:autoRedefine/>
    <w:uiPriority w:val="39"/>
    <w:rsid w:val="00672303"/>
    <w:pPr>
      <w:ind w:left="960" w:hanging="0"/>
    </w:pPr>
    <w:rPr>
      <w:rFonts w:eastAsia="Times New Roman"/>
      <w:lang w:eastAsia="en-US"/>
    </w:rPr>
  </w:style>
  <w:style w:type="paragraph" w:styleId="Contents6">
    <w:name w:val="TOC 6"/>
    <w:basedOn w:val="Normal"/>
    <w:next w:val="Normal"/>
    <w:autoRedefine/>
    <w:uiPriority w:val="39"/>
    <w:rsid w:val="00672303"/>
    <w:pPr>
      <w:ind w:left="1200" w:hanging="0"/>
    </w:pPr>
    <w:rPr>
      <w:rFonts w:eastAsia="Times New Roman"/>
      <w:lang w:eastAsia="en-US"/>
    </w:rPr>
  </w:style>
  <w:style w:type="paragraph" w:styleId="Contents7">
    <w:name w:val="TOC 7"/>
    <w:basedOn w:val="Normal"/>
    <w:next w:val="Normal"/>
    <w:autoRedefine/>
    <w:uiPriority w:val="39"/>
    <w:rsid w:val="00672303"/>
    <w:pPr>
      <w:ind w:left="1440" w:hanging="0"/>
    </w:pPr>
    <w:rPr>
      <w:rFonts w:eastAsia="Times New Roman"/>
      <w:lang w:eastAsia="en-US"/>
    </w:rPr>
  </w:style>
  <w:style w:type="paragraph" w:styleId="Contents8">
    <w:name w:val="TOC 8"/>
    <w:basedOn w:val="Normal"/>
    <w:next w:val="Normal"/>
    <w:autoRedefine/>
    <w:uiPriority w:val="39"/>
    <w:rsid w:val="00672303"/>
    <w:pPr>
      <w:ind w:left="1680" w:hanging="0"/>
    </w:pPr>
    <w:rPr>
      <w:rFonts w:eastAsia="Times New Roman"/>
      <w:lang w:eastAsia="en-US"/>
    </w:rPr>
  </w:style>
  <w:style w:type="paragraph" w:styleId="Contents9">
    <w:name w:val="TOC 9"/>
    <w:basedOn w:val="Normal"/>
    <w:next w:val="Normal"/>
    <w:autoRedefine/>
    <w:uiPriority w:val="39"/>
    <w:rsid w:val="00672303"/>
    <w:pPr>
      <w:ind w:left="1920" w:hanging="0"/>
    </w:pPr>
    <w:rPr>
      <w:rFonts w:eastAsia="Times New Roman"/>
      <w:lang w:eastAsia="en-US"/>
    </w:rPr>
  </w:style>
  <w:style w:type="paragraph" w:styleId="Document1" w:customStyle="1">
    <w:name w:val="Document 1"/>
    <w:semiHidden/>
    <w:qFormat/>
    <w:rsid w:val="00805d14"/>
    <w:pPr>
      <w:keepNext w:val="true"/>
      <w:keepLines/>
      <w:widowControl/>
      <w:tabs>
        <w:tab w:val="clear" w:pos="720"/>
        <w:tab w:val="left" w:pos="-720" w:leader="none"/>
      </w:tabs>
      <w:suppressAutoHyphens w:val="true"/>
      <w:overflowPunct w:val="false"/>
      <w:bidi w:val="0"/>
      <w:spacing w:before="0" w:after="0"/>
      <w:jc w:val="left"/>
      <w:textAlignment w:val="baseline"/>
    </w:pPr>
    <w:rPr>
      <w:rFonts w:ascii="Times New Roman" w:hAnsi="Times New Roman" w:eastAsia="Times New Roman" w:cs="Times New Roman"/>
      <w:color w:val="auto"/>
      <w:kern w:val="0"/>
      <w:sz w:val="20"/>
      <w:szCs w:val="20"/>
      <w:lang w:val="en-US" w:eastAsia="zh-CN" w:bidi="ar-SA"/>
    </w:rPr>
  </w:style>
  <w:style w:type="paragraph" w:styleId="Default" w:customStyle="1">
    <w:name w:val="Default"/>
    <w:qFormat/>
    <w:rsid w:val="001b5d53"/>
    <w:pPr>
      <w:widowControl/>
      <w:suppressAutoHyphens w:val="true"/>
      <w:bidi w:val="0"/>
      <w:spacing w:before="0" w:after="0"/>
      <w:jc w:val="left"/>
    </w:pPr>
    <w:rPr>
      <w:rFonts w:ascii="Times New Roman" w:hAnsi="Times New Roman" w:eastAsia="Times New Roman" w:cs="Times New Roman"/>
      <w:color w:val="000000"/>
      <w:kern w:val="0"/>
      <w:sz w:val="24"/>
      <w:szCs w:val="24"/>
      <w:lang w:val="en-US" w:eastAsia="en-US" w:bidi="ar-SA"/>
    </w:rPr>
  </w:style>
  <w:style w:type="paragraph" w:styleId="P3Header1Clauses" w:customStyle="1">
    <w:name w:val="P3 Header1-Clauses"/>
    <w:basedOn w:val="Normal"/>
    <w:qFormat/>
    <w:rsid w:val="00092555"/>
    <w:pPr>
      <w:tabs>
        <w:tab w:val="clear" w:pos="720"/>
        <w:tab w:val="left" w:pos="432" w:leader="none"/>
        <w:tab w:val="left" w:pos="2160" w:leader="none"/>
      </w:tabs>
      <w:ind w:left="432" w:hanging="180"/>
    </w:pPr>
    <w:rPr>
      <w:rFonts w:eastAsia="Times New Roman"/>
      <w:b/>
      <w:szCs w:val="20"/>
      <w:lang w:val="es-ES_tradnl" w:eastAsia="en-US"/>
    </w:rPr>
  </w:style>
  <w:style w:type="paragraph" w:styleId="BHead" w:customStyle="1">
    <w:name w:val="B Head"/>
    <w:semiHidden/>
    <w:qFormat/>
    <w:rsid w:val="00923c7b"/>
    <w:pPr>
      <w:widowControl/>
      <w:tabs>
        <w:tab w:val="clear" w:pos="720"/>
        <w:tab w:val="left" w:pos="-720" w:leader="none"/>
      </w:tabs>
      <w:suppressAutoHyphens w:val="true"/>
      <w:overflowPunct w:val="false"/>
      <w:bidi w:val="0"/>
      <w:spacing w:before="0" w:after="0"/>
      <w:jc w:val="left"/>
      <w:textAlignment w:val="baseline"/>
    </w:pPr>
    <w:rPr>
      <w:rFonts w:ascii="Times New Roman" w:hAnsi="Times New Roman" w:eastAsia="Times New Roman" w:cs="Times New Roman"/>
      <w:color w:val="auto"/>
      <w:kern w:val="0"/>
      <w:sz w:val="20"/>
      <w:szCs w:val="20"/>
      <w:lang w:val="en-US" w:eastAsia="zh-CN" w:bidi="ar-SA"/>
    </w:rPr>
  </w:style>
  <w:style w:type="paragraph" w:styleId="I" w:customStyle="1">
    <w:name w:val="(i)"/>
    <w:basedOn w:val="Normal"/>
    <w:semiHidden/>
    <w:qFormat/>
    <w:rsid w:val="007a3d48"/>
    <w:pPr>
      <w:suppressAutoHyphens w:val="true"/>
      <w:jc w:val="both"/>
    </w:pPr>
    <w:rPr>
      <w:rFonts w:ascii="Tms Rmn" w:hAnsi="Tms Rmn" w:eastAsia="Times New Roman"/>
      <w:szCs w:val="20"/>
      <w:lang w:eastAsia="en-US"/>
    </w:rPr>
  </w:style>
  <w:style w:type="paragraph" w:styleId="Annotationtext">
    <w:name w:val="annotation text"/>
    <w:basedOn w:val="Normal"/>
    <w:link w:val="CommentTextChar"/>
    <w:semiHidden/>
    <w:unhideWhenUsed/>
    <w:qFormat/>
    <w:rsid w:val="002e17f5"/>
    <w:pPr/>
    <w:rPr>
      <w:sz w:val="20"/>
      <w:szCs w:val="20"/>
    </w:rPr>
  </w:style>
  <w:style w:type="paragraph" w:styleId="Annotationsubject">
    <w:name w:val="annotation subject"/>
    <w:basedOn w:val="Annotationtext"/>
    <w:next w:val="Annotationtext"/>
    <w:link w:val="CommentSubjectChar"/>
    <w:uiPriority w:val="99"/>
    <w:semiHidden/>
    <w:unhideWhenUsed/>
    <w:qFormat/>
    <w:rsid w:val="002e17f5"/>
    <w:pPr/>
    <w:rPr>
      <w:b/>
      <w:bCs/>
    </w:rPr>
  </w:style>
  <w:style w:type="paragraph" w:styleId="Revision">
    <w:name w:val="Revision"/>
    <w:uiPriority w:val="99"/>
    <w:semiHidden/>
    <w:qFormat/>
    <w:rsid w:val="002e17f5"/>
    <w:pPr>
      <w:widowControl/>
      <w:suppressAutoHyphens w:val="true"/>
      <w:bidi w:val="0"/>
      <w:spacing w:before="0" w:after="0"/>
      <w:jc w:val="left"/>
    </w:pPr>
    <w:rPr>
      <w:rFonts w:ascii="Times New Roman" w:hAnsi="Times New Roman" w:eastAsia="SimSun" w:cs="Times New Roman"/>
      <w:color w:val="auto"/>
      <w:kern w:val="0"/>
      <w:sz w:val="24"/>
      <w:szCs w:val="24"/>
      <w:lang w:val="en-US" w:eastAsia="zh-CN" w:bidi="ar-SA"/>
    </w:rPr>
  </w:style>
  <w:style w:type="paragraph" w:styleId="ListParagraph">
    <w:name w:val="List Paragraph"/>
    <w:basedOn w:val="Normal"/>
    <w:uiPriority w:val="34"/>
    <w:qFormat/>
    <w:rsid w:val="00b20cbc"/>
    <w:pPr>
      <w:ind w:left="720" w:hanging="0"/>
    </w:pPr>
    <w:rPr/>
  </w:style>
  <w:style w:type="paragraph" w:styleId="FrameContents">
    <w:name w:val="Frame Contents"/>
    <w:basedOn w:val="Normal"/>
    <w:qFormat/>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2708c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Light1">
    <w:name w:val="Table Grid Light1"/>
    <w:basedOn w:val="TableNormal"/>
    <w:uiPriority w:val="40"/>
    <w:rsid w:val="001c63fc"/>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oter" Target="footer4.xml"/><Relationship Id="rId7" Type="http://schemas.openxmlformats.org/officeDocument/2006/relationships/footer" Target="footer5.xml"/><Relationship Id="rId8" Type="http://schemas.openxmlformats.org/officeDocument/2006/relationships/footer" Target="footer6.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EEAED-4882-4C28-9CFD-7287DE5FF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Application>LibreOffice/7.2.7.2$Linux_X86_64 LibreOffice_project/20$Build-2</Application>
  <AppVersion>15.0000</AppVersion>
  <Pages>81</Pages>
  <Words>26273</Words>
  <Characters>139223</Characters>
  <CharactersWithSpaces>163407</CharactersWithSpaces>
  <Paragraphs>2006</Paragraphs>
  <Company>IMED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2016-07-20T04:05:00Z</dcterms:created>
  <dc:creator>c:\cptu29014</dc:creator>
  <dc:description/>
  <dc:language>en-US</dc:language>
  <cp:lastModifiedBy/>
  <cp:lastPrinted>2015-02-25T06:41:00Z</cp:lastPrinted>
  <dcterms:modified xsi:type="dcterms:W3CDTF">2023-02-22T21:17:32Z</dcterms:modified>
  <cp:revision>85</cp:revision>
  <dc:subject/>
  <dc:title>GOVERNMENT OF THE PEOPLE’S REPUBLIC OF BANGLADESH</dc:title>
</cp:coreProperties>
</file>

<file path=docProps/custom.xml><?xml version="1.0" encoding="utf-8"?>
<Properties xmlns="http://schemas.openxmlformats.org/officeDocument/2006/custom-properties" xmlns:vt="http://schemas.openxmlformats.org/officeDocument/2006/docPropsVTypes"/>
</file>